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499A" w14:textId="3155E5D9" w:rsidR="0037518F" w:rsidRPr="00FA7DB7" w:rsidRDefault="0037518F" w:rsidP="0037518F">
      <w:pPr>
        <w:spacing w:after="0"/>
        <w:jc w:val="center"/>
        <w:rPr>
          <w:b/>
          <w:sz w:val="36"/>
          <w:szCs w:val="48"/>
        </w:rPr>
      </w:pPr>
      <w:r w:rsidRPr="00FA7DB7">
        <w:rPr>
          <w:b/>
          <w:sz w:val="36"/>
          <w:szCs w:val="48"/>
        </w:rPr>
        <w:t xml:space="preserve">Formato </w:t>
      </w:r>
      <w:r w:rsidR="00D27A6D" w:rsidRPr="00FA7DB7">
        <w:rPr>
          <w:b/>
          <w:sz w:val="36"/>
          <w:szCs w:val="48"/>
        </w:rPr>
        <w:t>para la redacción del Criterio 5</w:t>
      </w:r>
      <w:r w:rsidRPr="00FA7DB7">
        <w:rPr>
          <w:b/>
          <w:sz w:val="36"/>
          <w:szCs w:val="48"/>
        </w:rPr>
        <w:t xml:space="preserve">. </w:t>
      </w:r>
      <w:proofErr w:type="spellStart"/>
      <w:r w:rsidRPr="00FA7DB7">
        <w:rPr>
          <w:b/>
          <w:sz w:val="36"/>
          <w:szCs w:val="48"/>
        </w:rPr>
        <w:t>GyM</w:t>
      </w:r>
      <w:proofErr w:type="spellEnd"/>
    </w:p>
    <w:p w14:paraId="61FC6CB7" w14:textId="77777777" w:rsidR="0037518F" w:rsidRPr="00FA7DB7" w:rsidRDefault="0037518F" w:rsidP="0037518F">
      <w:pPr>
        <w:spacing w:after="0"/>
        <w:jc w:val="center"/>
        <w:rPr>
          <w:b/>
          <w:sz w:val="28"/>
          <w:szCs w:val="48"/>
        </w:rPr>
      </w:pPr>
      <w:r w:rsidRPr="00FA7DB7">
        <w:rPr>
          <w:b/>
          <w:sz w:val="28"/>
          <w:szCs w:val="48"/>
        </w:rPr>
        <w:t xml:space="preserve">Autoinforme Global de Renovación de la Acreditación de los Títulos Oficiales </w:t>
      </w:r>
    </w:p>
    <w:p w14:paraId="2BE3852B" w14:textId="77777777" w:rsidR="0037518F" w:rsidRPr="00FA7DB7" w:rsidRDefault="0037518F" w:rsidP="0037518F">
      <w:pPr>
        <w:rPr>
          <w:rFonts w:ascii="Calibri" w:hAnsi="Calibri" w:cs="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229"/>
      </w:tblGrid>
      <w:tr w:rsidR="0037518F" w:rsidRPr="00FA7DB7" w14:paraId="764E2119" w14:textId="77777777" w:rsidTr="00863888">
        <w:tc>
          <w:tcPr>
            <w:tcW w:w="9776" w:type="dxa"/>
            <w:gridSpan w:val="2"/>
            <w:shd w:val="clear" w:color="auto" w:fill="000000"/>
          </w:tcPr>
          <w:p w14:paraId="5278908C" w14:textId="77777777" w:rsidR="0037518F" w:rsidRPr="00FA7DB7" w:rsidRDefault="0037518F" w:rsidP="00863888">
            <w:pPr>
              <w:spacing w:after="0" w:line="240" w:lineRule="auto"/>
              <w:jc w:val="both"/>
              <w:rPr>
                <w:rFonts w:ascii="Calibri" w:hAnsi="Calibri" w:cs="Calibri"/>
                <w:b/>
                <w:i/>
                <w:color w:val="FFFFFF"/>
              </w:rPr>
            </w:pPr>
            <w:r w:rsidRPr="00FA7DB7">
              <w:rPr>
                <w:rFonts w:ascii="Calibri" w:hAnsi="Calibri" w:cs="Calibri"/>
                <w:b/>
                <w:i/>
                <w:color w:val="FFFFFF"/>
              </w:rPr>
              <w:t>UNIVERSIDAD: CÁDIZ</w:t>
            </w:r>
          </w:p>
        </w:tc>
      </w:tr>
      <w:tr w:rsidR="0037518F" w:rsidRPr="00FA7DB7" w14:paraId="379F811B" w14:textId="77777777" w:rsidTr="00863888">
        <w:tc>
          <w:tcPr>
            <w:tcW w:w="2547" w:type="dxa"/>
          </w:tcPr>
          <w:p w14:paraId="2E58BEE9" w14:textId="77777777" w:rsidR="0037518F" w:rsidRPr="00FA7DB7" w:rsidRDefault="0037518F" w:rsidP="00863888">
            <w:pPr>
              <w:spacing w:after="0" w:line="240" w:lineRule="auto"/>
              <w:jc w:val="both"/>
              <w:rPr>
                <w:rFonts w:ascii="Calibri" w:hAnsi="Calibri" w:cs="Calibri"/>
                <w:i/>
              </w:rPr>
            </w:pPr>
            <w:r w:rsidRPr="00FA7DB7">
              <w:rPr>
                <w:rFonts w:ascii="Calibri" w:hAnsi="Calibri" w:cs="Calibri"/>
                <w:i/>
              </w:rPr>
              <w:t>Denominación del título</w:t>
            </w:r>
          </w:p>
        </w:tc>
        <w:tc>
          <w:tcPr>
            <w:tcW w:w="7229" w:type="dxa"/>
          </w:tcPr>
          <w:p w14:paraId="1DA0A9D1" w14:textId="77777777" w:rsidR="0037518F" w:rsidRPr="00FA7DB7" w:rsidRDefault="0037518F" w:rsidP="00863888">
            <w:pPr>
              <w:spacing w:after="0" w:line="240" w:lineRule="auto"/>
              <w:jc w:val="both"/>
              <w:rPr>
                <w:rFonts w:ascii="Calibri" w:hAnsi="Calibri" w:cs="Calibri"/>
                <w:b/>
                <w:color w:val="FF0000"/>
              </w:rPr>
            </w:pPr>
            <w:proofErr w:type="spellStart"/>
            <w:r w:rsidRPr="00FA7DB7">
              <w:rPr>
                <w:rFonts w:ascii="Calibri" w:hAnsi="Calibri" w:cs="Calibri"/>
                <w:b/>
                <w:color w:val="FF0000"/>
              </w:rPr>
              <w:t>xxxx</w:t>
            </w:r>
            <w:proofErr w:type="spellEnd"/>
          </w:p>
        </w:tc>
      </w:tr>
    </w:tbl>
    <w:p w14:paraId="7D28BBE7" w14:textId="77777777" w:rsidR="0037518F" w:rsidRPr="00FA7DB7" w:rsidRDefault="0037518F" w:rsidP="0037518F">
      <w:pPr>
        <w:rPr>
          <w:rFonts w:asciiTheme="minorHAnsi" w:eastAsiaTheme="minorHAnsi" w:hAnsiTheme="minorHAnsi" w:cstheme="minorHAnsi"/>
          <w:i/>
          <w:color w:val="FF0000"/>
          <w:sz w:val="20"/>
        </w:rPr>
      </w:pPr>
    </w:p>
    <w:p w14:paraId="1EBD779E" w14:textId="5A5A594E" w:rsidR="0037518F" w:rsidRPr="00FA7DB7" w:rsidRDefault="0037518F" w:rsidP="0037518F">
      <w:pPr>
        <w:rPr>
          <w:rFonts w:asciiTheme="minorHAnsi" w:eastAsiaTheme="minorHAnsi" w:hAnsiTheme="minorHAnsi" w:cstheme="minorHAnsi"/>
          <w:i/>
          <w:color w:val="FF0000"/>
          <w:sz w:val="20"/>
        </w:rPr>
      </w:pPr>
      <w:r w:rsidRPr="00FA7DB7">
        <w:rPr>
          <w:rFonts w:asciiTheme="minorHAnsi" w:eastAsiaTheme="minorHAnsi" w:hAnsiTheme="minorHAnsi" w:cstheme="minorHAnsi"/>
          <w:i/>
          <w:color w:val="FF0000"/>
          <w:sz w:val="20"/>
        </w:rPr>
        <w:t xml:space="preserve">[Todo lo indicado en negro son recomendaciones, según nuestra experiencia, de redacción de los diferentes apartados. La coordinación de los títulos podrá cambiar su contenido según necesidades]. </w:t>
      </w:r>
    </w:p>
    <w:p w14:paraId="65A2B50C" w14:textId="77777777" w:rsidR="0037518F" w:rsidRPr="00FA7DB7" w:rsidRDefault="0037518F" w:rsidP="00954CBA">
      <w:pPr>
        <w:jc w:val="both"/>
        <w:rPr>
          <w:rFonts w:asciiTheme="minorHAnsi" w:eastAsiaTheme="minorHAnsi" w:hAnsiTheme="minorHAnsi" w:cstheme="minorHAnsi"/>
          <w:i/>
          <w:color w:val="FF0000"/>
          <w:sz w:val="20"/>
        </w:rPr>
      </w:pPr>
      <w:r w:rsidRPr="00FA7DB7">
        <w:rPr>
          <w:rFonts w:asciiTheme="minorHAnsi" w:eastAsiaTheme="minorHAnsi" w:hAnsiTheme="minorHAnsi" w:cstheme="minorHAnsi"/>
          <w:i/>
          <w:color w:val="FF0000"/>
          <w:sz w:val="20"/>
        </w:rPr>
        <w:t>[Todo lo indicado en rojo, son instrucciones de cumplimentación de los diferentes apartados del presente documento].</w:t>
      </w:r>
    </w:p>
    <w:p w14:paraId="2E088698" w14:textId="77777777" w:rsidR="0037518F" w:rsidRPr="00FA7DB7" w:rsidRDefault="0037518F" w:rsidP="0037518F">
      <w:pPr>
        <w:rPr>
          <w:rFonts w:asciiTheme="minorHAnsi" w:eastAsiaTheme="minorHAnsi" w:hAnsiTheme="minorHAnsi" w:cstheme="minorHAnsi"/>
          <w:i/>
          <w:color w:val="FF0000"/>
          <w:sz w:val="20"/>
        </w:rPr>
      </w:pPr>
      <w:r w:rsidRPr="00FA7DB7">
        <w:rPr>
          <w:rFonts w:asciiTheme="minorHAnsi" w:eastAsiaTheme="minorHAnsi" w:hAnsiTheme="minorHAnsi" w:cstheme="minorHAnsi"/>
          <w:i/>
          <w:color w:val="FF0000"/>
          <w:sz w:val="20"/>
        </w:rPr>
        <w:t>[Todo lo indicado en azul son las directrices de ACCUA].</w:t>
      </w:r>
    </w:p>
    <w:p w14:paraId="18204B04" w14:textId="5F90C775" w:rsidR="0037518F" w:rsidRPr="00FA7DB7" w:rsidRDefault="0037518F" w:rsidP="00954CBA">
      <w:pPr>
        <w:jc w:val="both"/>
        <w:rPr>
          <w:rFonts w:asciiTheme="minorHAnsi" w:eastAsiaTheme="minorHAnsi" w:hAnsiTheme="minorHAnsi" w:cstheme="minorHAnsi"/>
          <w:i/>
          <w:color w:val="FF0000"/>
          <w:sz w:val="20"/>
          <w:szCs w:val="20"/>
        </w:rPr>
      </w:pPr>
      <w:r w:rsidRPr="00FA7DB7">
        <w:rPr>
          <w:rFonts w:asciiTheme="minorHAnsi" w:eastAsiaTheme="minorHAnsi" w:hAnsiTheme="minorHAnsi" w:cstheme="minorHAnsi"/>
          <w:i/>
          <w:color w:val="FF0000"/>
          <w:sz w:val="20"/>
          <w:szCs w:val="20"/>
        </w:rPr>
        <w:t xml:space="preserve">[Para </w:t>
      </w:r>
      <w:r w:rsidR="00B40E99" w:rsidRPr="00FA7DB7">
        <w:rPr>
          <w:rFonts w:asciiTheme="minorHAnsi" w:eastAsiaTheme="minorHAnsi" w:hAnsiTheme="minorHAnsi" w:cstheme="minorHAnsi"/>
          <w:i/>
          <w:color w:val="FF0000"/>
          <w:sz w:val="20"/>
          <w:szCs w:val="20"/>
        </w:rPr>
        <w:t>títulos de máster</w:t>
      </w:r>
      <w:r w:rsidRPr="00FA7DB7">
        <w:rPr>
          <w:rFonts w:asciiTheme="minorHAnsi" w:eastAsiaTheme="minorHAnsi" w:hAnsiTheme="minorHAnsi" w:cstheme="minorHAnsi"/>
          <w:i/>
          <w:color w:val="FF0000"/>
          <w:sz w:val="20"/>
          <w:szCs w:val="20"/>
        </w:rPr>
        <w:t xml:space="preserve"> </w:t>
      </w:r>
      <w:r w:rsidR="00B40E99" w:rsidRPr="00FA7DB7">
        <w:rPr>
          <w:rFonts w:asciiTheme="minorHAnsi" w:eastAsiaTheme="minorHAnsi" w:hAnsiTheme="minorHAnsi" w:cstheme="minorHAnsi"/>
          <w:i/>
          <w:color w:val="FF0000"/>
          <w:sz w:val="20"/>
          <w:szCs w:val="20"/>
        </w:rPr>
        <w:t>i</w:t>
      </w:r>
      <w:r w:rsidRPr="00FA7DB7">
        <w:rPr>
          <w:rFonts w:asciiTheme="minorHAnsi" w:eastAsiaTheme="minorHAnsi" w:hAnsiTheme="minorHAnsi" w:cstheme="minorHAnsi"/>
          <w:i/>
          <w:color w:val="FF0000"/>
          <w:sz w:val="20"/>
          <w:szCs w:val="20"/>
        </w:rPr>
        <w:t xml:space="preserve">nteruniversitarios, deberá indicarse información desagregada de todas las </w:t>
      </w:r>
      <w:r w:rsidR="00B40E99" w:rsidRPr="00FA7DB7">
        <w:rPr>
          <w:rFonts w:asciiTheme="minorHAnsi" w:eastAsiaTheme="minorHAnsi" w:hAnsiTheme="minorHAnsi" w:cstheme="minorHAnsi"/>
          <w:i/>
          <w:color w:val="FF0000"/>
          <w:sz w:val="20"/>
          <w:szCs w:val="20"/>
        </w:rPr>
        <w:t>u</w:t>
      </w:r>
      <w:r w:rsidRPr="00FA7DB7">
        <w:rPr>
          <w:rFonts w:asciiTheme="minorHAnsi" w:eastAsiaTheme="minorHAnsi" w:hAnsiTheme="minorHAnsi" w:cstheme="minorHAnsi"/>
          <w:i/>
          <w:color w:val="FF0000"/>
          <w:sz w:val="20"/>
          <w:szCs w:val="20"/>
        </w:rPr>
        <w:t xml:space="preserve">niversidades </w:t>
      </w:r>
      <w:r w:rsidR="00B40E99" w:rsidRPr="00FA7DB7">
        <w:rPr>
          <w:rFonts w:asciiTheme="minorHAnsi" w:eastAsiaTheme="minorHAnsi" w:hAnsiTheme="minorHAnsi" w:cstheme="minorHAnsi"/>
          <w:i/>
          <w:color w:val="FF0000"/>
          <w:sz w:val="20"/>
          <w:szCs w:val="20"/>
        </w:rPr>
        <w:t>p</w:t>
      </w:r>
      <w:r w:rsidRPr="00FA7DB7">
        <w:rPr>
          <w:rFonts w:asciiTheme="minorHAnsi" w:eastAsiaTheme="minorHAnsi" w:hAnsiTheme="minorHAnsi" w:cstheme="minorHAnsi"/>
          <w:i/>
          <w:color w:val="FF0000"/>
          <w:sz w:val="20"/>
          <w:szCs w:val="20"/>
        </w:rPr>
        <w:t>articipantes].</w:t>
      </w:r>
    </w:p>
    <w:p w14:paraId="69E868BA" w14:textId="5EC7DDCD" w:rsidR="0037518F" w:rsidRPr="00FA7DB7" w:rsidRDefault="0037518F" w:rsidP="0037518F">
      <w:pPr>
        <w:shd w:val="clear" w:color="auto" w:fill="000000"/>
        <w:spacing w:after="0"/>
        <w:jc w:val="both"/>
        <w:rPr>
          <w:rFonts w:asciiTheme="minorHAnsi" w:hAnsiTheme="minorHAnsi" w:cstheme="minorHAnsi"/>
          <w:b/>
          <w:color w:val="FFFFFF"/>
        </w:rPr>
      </w:pPr>
      <w:r w:rsidRPr="00FA7DB7">
        <w:rPr>
          <w:rFonts w:asciiTheme="minorHAnsi" w:hAnsiTheme="minorHAnsi" w:cstheme="minorHAnsi"/>
          <w:b/>
          <w:color w:val="FFFFFF"/>
        </w:rPr>
        <w:t xml:space="preserve">V. </w:t>
      </w:r>
      <w:r w:rsidR="00C5328B" w:rsidRPr="00FA7DB7">
        <w:rPr>
          <w:rFonts w:asciiTheme="minorHAnsi" w:hAnsiTheme="minorHAnsi" w:cstheme="minorHAnsi"/>
          <w:b/>
          <w:color w:val="FFFFFF"/>
        </w:rPr>
        <w:t>RECURSOS Y APOYO A LA DOCENCIA</w:t>
      </w:r>
    </w:p>
    <w:p w14:paraId="25E75C8F" w14:textId="77777777" w:rsidR="0037518F" w:rsidRPr="00FA7DB7" w:rsidRDefault="0037518F" w:rsidP="0037518F">
      <w:pPr>
        <w:spacing w:after="0"/>
        <w:jc w:val="both"/>
        <w:rPr>
          <w:rFonts w:ascii="Calibri" w:hAnsi="Calibri" w:cs="Calibri"/>
        </w:rPr>
      </w:pPr>
    </w:p>
    <w:p w14:paraId="37D693F2" w14:textId="77777777" w:rsidR="0037518F" w:rsidRPr="00FA7DB7" w:rsidRDefault="0037518F" w:rsidP="0037518F">
      <w:pPr>
        <w:shd w:val="clear" w:color="auto" w:fill="000000" w:themeFill="text1"/>
        <w:spacing w:after="0" w:line="240" w:lineRule="auto"/>
        <w:jc w:val="both"/>
        <w:rPr>
          <w:rFonts w:asciiTheme="minorHAnsi" w:hAnsiTheme="minorHAnsi"/>
          <w:color w:val="FFFFFF" w:themeColor="background1"/>
        </w:rPr>
      </w:pPr>
      <w:r w:rsidRPr="00FA7DB7">
        <w:rPr>
          <w:rFonts w:asciiTheme="minorHAnsi" w:hAnsiTheme="minorHAnsi"/>
          <w:b/>
          <w:i/>
          <w:color w:val="FFFFFF" w:themeColor="background1"/>
        </w:rPr>
        <w:t>Análisis y Valoración:</w:t>
      </w:r>
    </w:p>
    <w:p w14:paraId="3DF67505" w14:textId="77777777" w:rsidR="0037518F" w:rsidRPr="00FA7DB7" w:rsidRDefault="0037518F" w:rsidP="0037518F">
      <w:pPr>
        <w:autoSpaceDE w:val="0"/>
        <w:autoSpaceDN w:val="0"/>
        <w:adjustRightInd w:val="0"/>
        <w:spacing w:after="0"/>
        <w:jc w:val="both"/>
        <w:rPr>
          <w:rFonts w:ascii="Calibri" w:hAnsi="Calibri" w:cs="Calibri"/>
        </w:rPr>
      </w:pPr>
    </w:p>
    <w:p w14:paraId="72010BD1" w14:textId="3494DC96" w:rsidR="00C5328B" w:rsidRPr="00FA7DB7" w:rsidRDefault="00C5328B"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r w:rsidRPr="00FA7DB7">
        <w:rPr>
          <w:rFonts w:ascii="Calibri" w:hAnsi="Calibri" w:cs="Calibri"/>
          <w:i/>
          <w:color w:val="FFFFFF" w:themeColor="background1"/>
          <w:u w:val="single"/>
          <w:shd w:val="clear" w:color="auto" w:fill="1F497D"/>
        </w:rPr>
        <w:t>Subcriterio 5</w:t>
      </w:r>
      <w:r w:rsidR="0037518F" w:rsidRPr="00FA7DB7">
        <w:rPr>
          <w:rFonts w:ascii="Calibri" w:hAnsi="Calibri" w:cs="Calibri"/>
          <w:i/>
          <w:color w:val="FFFFFF" w:themeColor="background1"/>
          <w:u w:val="single"/>
          <w:shd w:val="clear" w:color="auto" w:fill="1F497D"/>
        </w:rPr>
        <w:t>.1</w:t>
      </w:r>
      <w:r w:rsidR="0037518F" w:rsidRPr="00FA7DB7">
        <w:rPr>
          <w:rFonts w:asciiTheme="minorHAnsi" w:hAnsiTheme="minorHAnsi" w:cstheme="minorHAnsi"/>
          <w:i/>
          <w:color w:val="FFFFFF" w:themeColor="background1"/>
        </w:rPr>
        <w:t xml:space="preserve">:  </w:t>
      </w:r>
      <w:r w:rsidRPr="00FA7DB7">
        <w:rPr>
          <w:rFonts w:asciiTheme="minorHAnsi" w:hAnsiTheme="minorHAnsi" w:cstheme="minorHAnsi"/>
          <w:i/>
          <w:color w:val="FFFFFF" w:themeColor="background1"/>
        </w:rPr>
        <w:t>El título cuenta con la infraestructura y los recursos adecuados teniendo en cuenta el tamaño de los grupos, el desarrollo de las actividades formativas y las metodologías de enseñanza-aprendizaje. El alumnado está satisfecho con las infraestructuras y recursos disponibles. El profesorado está satisfecho con las infraestructuras y recursos disponibles</w:t>
      </w:r>
    </w:p>
    <w:p w14:paraId="4D9CC9D7" w14:textId="47F2AD55" w:rsidR="00A612A7" w:rsidRPr="00FA7DB7" w:rsidRDefault="00A612A7" w:rsidP="0037518F">
      <w:pPr>
        <w:spacing w:after="0" w:line="240" w:lineRule="auto"/>
        <w:jc w:val="both"/>
        <w:rPr>
          <w:rFonts w:ascii="Calibri" w:hAnsi="Calibri" w:cs="Calibri"/>
        </w:rPr>
      </w:pPr>
    </w:p>
    <w:p w14:paraId="14477B8B" w14:textId="77777777" w:rsidR="005A3FCF" w:rsidRPr="00FA7DB7" w:rsidRDefault="005A3FCF" w:rsidP="005A3FCF">
      <w:pPr>
        <w:spacing w:after="120" w:line="240" w:lineRule="auto"/>
        <w:jc w:val="both"/>
        <w:rPr>
          <w:rFonts w:asciiTheme="minorHAnsi" w:hAnsiTheme="minorHAnsi" w:cstheme="minorHAnsi"/>
          <w:bCs/>
          <w:sz w:val="20"/>
          <w:szCs w:val="20"/>
        </w:rPr>
      </w:pPr>
      <w:r w:rsidRPr="00FA7DB7">
        <w:rPr>
          <w:rFonts w:asciiTheme="minorHAnsi" w:hAnsiTheme="minorHAnsi" w:cstheme="minorHAnsi"/>
          <w:b/>
          <w:bCs/>
          <w:sz w:val="20"/>
          <w:szCs w:val="20"/>
        </w:rPr>
        <w:t>1.- Descripción de la infraestructura del Centro.</w:t>
      </w:r>
    </w:p>
    <w:p w14:paraId="66338D51" w14:textId="683C0C95" w:rsidR="005A3FCF" w:rsidRPr="00FA7DB7" w:rsidRDefault="005A3FCF" w:rsidP="005A3FCF">
      <w:pPr>
        <w:spacing w:after="120" w:line="240" w:lineRule="auto"/>
        <w:jc w:val="both"/>
        <w:rPr>
          <w:rFonts w:asciiTheme="minorHAnsi" w:hAnsiTheme="minorHAnsi" w:cstheme="minorHAnsi"/>
          <w:b/>
          <w:bCs/>
          <w:color w:val="FF0000"/>
          <w:sz w:val="20"/>
          <w:szCs w:val="20"/>
        </w:rPr>
      </w:pPr>
      <w:r w:rsidRPr="00FA7DB7">
        <w:rPr>
          <w:rFonts w:asciiTheme="minorHAnsi" w:hAnsiTheme="minorHAnsi" w:cstheme="minorHAnsi"/>
          <w:b/>
          <w:bCs/>
          <w:color w:val="FF0000"/>
          <w:sz w:val="20"/>
          <w:szCs w:val="20"/>
        </w:rPr>
        <w:t xml:space="preserve">[Descripción </w:t>
      </w:r>
      <w:r w:rsidRPr="00FA7DB7">
        <w:rPr>
          <w:rFonts w:asciiTheme="minorHAnsi" w:hAnsiTheme="minorHAnsi" w:cstheme="minorHAnsi"/>
          <w:b/>
          <w:bCs/>
          <w:color w:val="FF0000"/>
          <w:sz w:val="20"/>
          <w:szCs w:val="20"/>
          <w:u w:val="single"/>
        </w:rPr>
        <w:t>muy breve</w:t>
      </w:r>
      <w:r w:rsidRPr="00FA7DB7">
        <w:rPr>
          <w:rFonts w:asciiTheme="minorHAnsi" w:hAnsiTheme="minorHAnsi" w:cstheme="minorHAnsi"/>
          <w:b/>
          <w:bCs/>
          <w:color w:val="FF0000"/>
          <w:sz w:val="20"/>
          <w:szCs w:val="20"/>
        </w:rPr>
        <w:t xml:space="preserve">. Se debe usar como documento de referencia el apartado 7. Recursos materiales y servicios de la última memoria verificada]. </w:t>
      </w:r>
    </w:p>
    <w:p w14:paraId="62C15A87" w14:textId="77777777" w:rsidR="005A3FCF" w:rsidRPr="00FA7DB7" w:rsidRDefault="005A3FCF" w:rsidP="005A3FCF">
      <w:pPr>
        <w:spacing w:after="120" w:line="240" w:lineRule="auto"/>
        <w:jc w:val="both"/>
        <w:rPr>
          <w:rFonts w:asciiTheme="minorHAnsi" w:hAnsiTheme="minorHAnsi" w:cstheme="minorHAnsi"/>
          <w:b/>
          <w:bCs/>
          <w:sz w:val="20"/>
          <w:szCs w:val="20"/>
        </w:rPr>
      </w:pPr>
      <w:r w:rsidRPr="00FA7DB7">
        <w:rPr>
          <w:rFonts w:asciiTheme="minorHAnsi" w:hAnsiTheme="minorHAnsi" w:cstheme="minorHAnsi"/>
          <w:b/>
          <w:bCs/>
          <w:sz w:val="20"/>
          <w:szCs w:val="20"/>
        </w:rPr>
        <w:t>2.- Descripción de recursos y servicios.</w:t>
      </w:r>
    </w:p>
    <w:p w14:paraId="5A20067F" w14:textId="3C7E2AFB" w:rsidR="00274C11" w:rsidRPr="00FA7DB7" w:rsidRDefault="00274C11" w:rsidP="00274C11">
      <w:pPr>
        <w:autoSpaceDE w:val="0"/>
        <w:autoSpaceDN w:val="0"/>
        <w:adjustRightInd w:val="0"/>
        <w:spacing w:after="120" w:line="240" w:lineRule="auto"/>
        <w:jc w:val="both"/>
        <w:rPr>
          <w:rFonts w:ascii="Calibri" w:hAnsi="Calibri" w:cs="Calibri"/>
          <w:color w:val="FF0000"/>
          <w:sz w:val="20"/>
          <w:szCs w:val="20"/>
        </w:rPr>
      </w:pPr>
      <w:bookmarkStart w:id="0" w:name="_Hlk167439924"/>
      <w:r w:rsidRPr="00FA7DB7">
        <w:rPr>
          <w:rFonts w:ascii="Calibri" w:hAnsi="Calibri" w:cs="Calibri"/>
          <w:color w:val="FF0000"/>
          <w:sz w:val="20"/>
          <w:szCs w:val="20"/>
        </w:rPr>
        <w:t>[Cada Centro/Título debe especificar muy brevemente los recursos de biblioteca de que dispone].</w:t>
      </w:r>
    </w:p>
    <w:p w14:paraId="31924CAC" w14:textId="4FE3FF04" w:rsidR="00274C11" w:rsidRPr="00FA7DB7" w:rsidRDefault="00274C11" w:rsidP="00274C11">
      <w:pPr>
        <w:autoSpaceDE w:val="0"/>
        <w:autoSpaceDN w:val="0"/>
        <w:adjustRightInd w:val="0"/>
        <w:spacing w:after="120" w:line="240" w:lineRule="auto"/>
        <w:jc w:val="both"/>
        <w:rPr>
          <w:rFonts w:ascii="Calibri" w:hAnsi="Calibri"/>
          <w:bCs/>
          <w:i/>
          <w:color w:val="0070C0"/>
          <w:sz w:val="20"/>
          <w:szCs w:val="20"/>
        </w:rPr>
      </w:pPr>
      <w:r w:rsidRPr="00FA7DB7">
        <w:rPr>
          <w:rFonts w:ascii="Calibri" w:hAnsi="Calibri"/>
          <w:bCs/>
          <w:i/>
          <w:color w:val="FF0000"/>
          <w:sz w:val="20"/>
          <w:szCs w:val="20"/>
        </w:rPr>
        <w:t xml:space="preserve">[En </w:t>
      </w:r>
      <w:r w:rsidRPr="00FA7DB7">
        <w:rPr>
          <w:rFonts w:ascii="Calibri" w:hAnsi="Calibri"/>
          <w:bCs/>
          <w:color w:val="F79646" w:themeColor="accent6"/>
          <w:sz w:val="20"/>
          <w:szCs w:val="20"/>
        </w:rPr>
        <w:t>naranja</w:t>
      </w:r>
      <w:r w:rsidRPr="00FA7DB7">
        <w:rPr>
          <w:rFonts w:ascii="Calibri" w:hAnsi="Calibri"/>
          <w:bCs/>
          <w:i/>
          <w:color w:val="0070C0"/>
          <w:sz w:val="20"/>
          <w:szCs w:val="20"/>
        </w:rPr>
        <w:t xml:space="preserve"> </w:t>
      </w:r>
      <w:r w:rsidRPr="00FA7DB7">
        <w:rPr>
          <w:rFonts w:ascii="Calibri" w:hAnsi="Calibri"/>
          <w:bCs/>
          <w:i/>
          <w:color w:val="FF0000"/>
          <w:sz w:val="20"/>
          <w:szCs w:val="20"/>
        </w:rPr>
        <w:t xml:space="preserve">aplica para el Campus de Puerto Real. En </w:t>
      </w:r>
      <w:r w:rsidRPr="00FA7DB7">
        <w:rPr>
          <w:rFonts w:ascii="Calibri" w:hAnsi="Calibri"/>
          <w:bCs/>
          <w:color w:val="808080"/>
          <w:sz w:val="20"/>
          <w:szCs w:val="20"/>
        </w:rPr>
        <w:t>gris</w:t>
      </w:r>
      <w:r w:rsidRPr="00FA7DB7">
        <w:rPr>
          <w:rFonts w:ascii="Calibri" w:hAnsi="Calibri"/>
          <w:bCs/>
          <w:i/>
          <w:color w:val="808080"/>
          <w:sz w:val="20"/>
          <w:szCs w:val="20"/>
        </w:rPr>
        <w:t xml:space="preserve"> </w:t>
      </w:r>
      <w:r w:rsidRPr="00FA7DB7">
        <w:rPr>
          <w:rFonts w:ascii="Calibri" w:hAnsi="Calibri"/>
          <w:bCs/>
          <w:i/>
          <w:color w:val="FF0000"/>
          <w:sz w:val="20"/>
          <w:szCs w:val="20"/>
        </w:rPr>
        <w:t>al Campus de Cádiz. En</w:t>
      </w:r>
      <w:r w:rsidRPr="00FA7DB7">
        <w:rPr>
          <w:rFonts w:ascii="Calibri" w:hAnsi="Calibri"/>
          <w:bCs/>
          <w:i/>
          <w:color w:val="0070C0"/>
          <w:sz w:val="20"/>
          <w:szCs w:val="20"/>
        </w:rPr>
        <w:t xml:space="preserve"> </w:t>
      </w:r>
      <w:r w:rsidRPr="00FA7DB7">
        <w:rPr>
          <w:rFonts w:ascii="Calibri" w:hAnsi="Calibri"/>
          <w:bCs/>
          <w:i/>
          <w:color w:val="FB2DCF"/>
          <w:sz w:val="20"/>
          <w:szCs w:val="20"/>
        </w:rPr>
        <w:t>rosa</w:t>
      </w:r>
      <w:r w:rsidRPr="00FA7DB7">
        <w:rPr>
          <w:rFonts w:ascii="Calibri" w:hAnsi="Calibri"/>
          <w:bCs/>
          <w:i/>
          <w:color w:val="948A54" w:themeColor="background2" w:themeShade="80"/>
          <w:sz w:val="20"/>
          <w:szCs w:val="20"/>
        </w:rPr>
        <w:t xml:space="preserve"> </w:t>
      </w:r>
      <w:r w:rsidRPr="00FA7DB7">
        <w:rPr>
          <w:rFonts w:ascii="Calibri" w:hAnsi="Calibri"/>
          <w:bCs/>
          <w:i/>
          <w:color w:val="FF0000"/>
          <w:sz w:val="20"/>
          <w:szCs w:val="20"/>
        </w:rPr>
        <w:t xml:space="preserve">Campus de Jerez. En </w:t>
      </w:r>
      <w:r w:rsidRPr="00FA7DB7">
        <w:rPr>
          <w:rFonts w:ascii="Calibri" w:hAnsi="Calibri"/>
          <w:bCs/>
          <w:i/>
          <w:color w:val="7030A0"/>
          <w:sz w:val="20"/>
          <w:szCs w:val="20"/>
        </w:rPr>
        <w:t xml:space="preserve">morado </w:t>
      </w:r>
      <w:r w:rsidRPr="00FA7DB7">
        <w:rPr>
          <w:rFonts w:ascii="Calibri" w:hAnsi="Calibri"/>
          <w:bCs/>
          <w:i/>
          <w:color w:val="FF0000"/>
          <w:sz w:val="20"/>
          <w:szCs w:val="20"/>
        </w:rPr>
        <w:t xml:space="preserve">a la Bahía de Algeciras. </w:t>
      </w:r>
      <w:r w:rsidRPr="00FA7DB7">
        <w:rPr>
          <w:rFonts w:ascii="Calibri" w:eastAsia="Calibri" w:hAnsi="Calibri" w:cs="Calibri"/>
          <w:i/>
          <w:color w:val="FF0000"/>
          <w:sz w:val="20"/>
          <w:szCs w:val="20"/>
        </w:rPr>
        <w:t>Sirva por tanto esta información de ejemplo y cámbiela por la información de su centro y campus].</w:t>
      </w:r>
    </w:p>
    <w:p w14:paraId="549434E8" w14:textId="672A8B29" w:rsidR="00274C11" w:rsidRPr="00FA7DB7" w:rsidRDefault="00274C11" w:rsidP="00274C11">
      <w:pPr>
        <w:spacing w:before="120" w:after="120" w:line="240" w:lineRule="auto"/>
        <w:jc w:val="both"/>
        <w:outlineLvl w:val="2"/>
        <w:rPr>
          <w:rFonts w:ascii="Calibri" w:hAnsi="Calibri"/>
          <w:bCs/>
          <w:color w:val="F79646" w:themeColor="accent6"/>
          <w:sz w:val="20"/>
          <w:szCs w:val="20"/>
        </w:rPr>
      </w:pPr>
      <w:r w:rsidRPr="00FA7DB7">
        <w:rPr>
          <w:rFonts w:ascii="Calibri" w:hAnsi="Calibri"/>
          <w:bCs/>
          <w:color w:val="F79646" w:themeColor="accent6"/>
          <w:sz w:val="20"/>
          <w:szCs w:val="20"/>
        </w:rPr>
        <w:t>La Biblioteca del Campus de Puerto Real, es una biblioteca común, que da servicio a toda la comunidad universitaria. Esta cuenta con: 9 Salas de Trabajo en Grupo, un Laboratorio de Audiovisuales (sala con equipamiento audiovisual que pueden ser utilizada por el PDI y el P</w:t>
      </w:r>
      <w:r w:rsidR="00C455FC" w:rsidRPr="00FA7DB7">
        <w:rPr>
          <w:rFonts w:ascii="Calibri" w:hAnsi="Calibri"/>
          <w:bCs/>
          <w:color w:val="F79646" w:themeColor="accent6"/>
          <w:sz w:val="20"/>
          <w:szCs w:val="20"/>
        </w:rPr>
        <w:t>TG</w:t>
      </w:r>
      <w:r w:rsidRPr="00FA7DB7">
        <w:rPr>
          <w:rFonts w:ascii="Calibri" w:hAnsi="Calibri"/>
          <w:bCs/>
          <w:color w:val="F79646" w:themeColor="accent6"/>
          <w:sz w:val="20"/>
          <w:szCs w:val="20"/>
        </w:rPr>
        <w:t>AS para la grabación de vídeos), Espacio de Aprendizaje (sala multifuncional destinada a la docencia, con equipamiento audiovisual y de ofimática, que pueden ser utilizadas por el PDI y P</w:t>
      </w:r>
      <w:r w:rsidR="00C455FC" w:rsidRPr="00FA7DB7">
        <w:rPr>
          <w:rFonts w:ascii="Calibri" w:hAnsi="Calibri"/>
          <w:bCs/>
          <w:color w:val="F79646" w:themeColor="accent6"/>
          <w:sz w:val="20"/>
          <w:szCs w:val="20"/>
        </w:rPr>
        <w:t>TG</w:t>
      </w:r>
      <w:r w:rsidRPr="00FA7DB7">
        <w:rPr>
          <w:rFonts w:ascii="Calibri" w:hAnsi="Calibri"/>
          <w:bCs/>
          <w:color w:val="F79646" w:themeColor="accent6"/>
          <w:sz w:val="20"/>
          <w:szCs w:val="20"/>
        </w:rPr>
        <w:t>AS para la realización de videoconferencias, actividades académicas, cursos, seminarios o sesiones de formación. La capacidad máxima es de 40 a 50 personas), 90 ordenadores portátiles de Préstamo diario y de Préstamo por curso académico a disposición de los usuarios y 2 bancos de autopréstamo.  Estos espacios pueden ser reservados de forma rápida y ágil a través de la dirección web: https://biblioteca.uca.es.</w:t>
      </w:r>
    </w:p>
    <w:p w14:paraId="54BE7AA0" w14:textId="77777777" w:rsidR="00274C11" w:rsidRPr="00FA7DB7" w:rsidRDefault="00274C11" w:rsidP="00274C11">
      <w:pPr>
        <w:spacing w:before="120" w:after="120" w:line="240" w:lineRule="auto"/>
        <w:jc w:val="both"/>
        <w:outlineLvl w:val="2"/>
        <w:rPr>
          <w:rFonts w:ascii="Calibri" w:hAnsi="Calibri"/>
          <w:bCs/>
          <w:color w:val="F79646" w:themeColor="accent6"/>
          <w:sz w:val="20"/>
          <w:szCs w:val="20"/>
        </w:rPr>
      </w:pPr>
      <w:r w:rsidRPr="00FA7DB7">
        <w:rPr>
          <w:rFonts w:ascii="Calibri" w:hAnsi="Calibri"/>
          <w:bCs/>
          <w:color w:val="F79646" w:themeColor="accent6"/>
          <w:sz w:val="20"/>
          <w:szCs w:val="20"/>
        </w:rPr>
        <w:t>La Biblioteca también ofrece servicio de Información y Referencia y una amplia oferta de cursos de formación para sus usuarios, en línea con el fomento de la Alfabetización Informacional (ALFIN)</w:t>
      </w:r>
    </w:p>
    <w:p w14:paraId="2A733DDE" w14:textId="77777777" w:rsidR="00274C11" w:rsidRPr="00FA7DB7" w:rsidRDefault="00274C11" w:rsidP="00274C11">
      <w:pPr>
        <w:spacing w:before="120" w:after="120" w:line="240" w:lineRule="auto"/>
        <w:jc w:val="both"/>
        <w:outlineLvl w:val="2"/>
        <w:rPr>
          <w:rFonts w:ascii="Calibri" w:hAnsi="Calibri"/>
          <w:bCs/>
          <w:color w:val="F79646" w:themeColor="accent6"/>
          <w:sz w:val="20"/>
          <w:szCs w:val="20"/>
        </w:rPr>
      </w:pPr>
      <w:r w:rsidRPr="00FA7DB7">
        <w:rPr>
          <w:rFonts w:ascii="Calibri" w:hAnsi="Calibri"/>
          <w:bCs/>
          <w:color w:val="F79646" w:themeColor="accent6"/>
          <w:sz w:val="20"/>
          <w:szCs w:val="20"/>
        </w:rPr>
        <w:t>La Biblioteca se ubica en un edificio propio de 2.736 m2, cuenta con 390 puestos de lectura y 2.595 metros lineales de estanterías, de los cuales 1.595 m son de libre acceso y 1.000 m son de depósito.  El fondo bibliográfico integrado por más de 75.000 monografías y más de 1.000 títulos de publicaciones periódicas, cubre las áreas de conocimiento de los centros a los que atiende.</w:t>
      </w:r>
    </w:p>
    <w:p w14:paraId="22193D26" w14:textId="77777777" w:rsidR="00274C11" w:rsidRPr="00FA7DB7" w:rsidRDefault="00274C11" w:rsidP="00274C11">
      <w:pPr>
        <w:spacing w:before="100" w:beforeAutospacing="1" w:after="100" w:afterAutospacing="1" w:line="240" w:lineRule="auto"/>
        <w:jc w:val="both"/>
        <w:outlineLvl w:val="2"/>
        <w:rPr>
          <w:rFonts w:ascii="Calibri" w:hAnsi="Calibri"/>
          <w:bCs/>
          <w:color w:val="00B050"/>
          <w:sz w:val="20"/>
          <w:szCs w:val="20"/>
        </w:rPr>
      </w:pPr>
    </w:p>
    <w:p w14:paraId="3D4BA9EE" w14:textId="77777777" w:rsidR="00274C11" w:rsidRPr="00FA7DB7" w:rsidRDefault="00274C11" w:rsidP="00274C11">
      <w:pPr>
        <w:spacing w:before="120" w:after="120" w:line="240" w:lineRule="auto"/>
        <w:jc w:val="both"/>
        <w:outlineLvl w:val="2"/>
        <w:rPr>
          <w:rFonts w:ascii="Calibri" w:eastAsia="Calibri" w:hAnsi="Calibri" w:cs="Calibri"/>
          <w:color w:val="808080"/>
          <w:sz w:val="20"/>
          <w:szCs w:val="20"/>
        </w:rPr>
      </w:pPr>
      <w:r w:rsidRPr="00FA7DB7">
        <w:rPr>
          <w:rFonts w:ascii="Calibri" w:eastAsia="Calibri" w:hAnsi="Calibri" w:cs="Calibri"/>
          <w:color w:val="808080"/>
          <w:sz w:val="20"/>
          <w:szCs w:val="20"/>
        </w:rPr>
        <w:lastRenderedPageBreak/>
        <w:t xml:space="preserve">El </w:t>
      </w:r>
      <w:r w:rsidRPr="00FA7DB7">
        <w:rPr>
          <w:rFonts w:ascii="Calibri" w:eastAsia="Calibri" w:hAnsi="Calibri" w:cs="Calibri"/>
          <w:i/>
          <w:color w:val="808080"/>
          <w:sz w:val="20"/>
          <w:szCs w:val="20"/>
        </w:rPr>
        <w:t>Campus de Cádiz</w:t>
      </w:r>
      <w:r w:rsidRPr="00FA7DB7">
        <w:rPr>
          <w:rFonts w:ascii="Calibri" w:eastAsia="Calibri" w:hAnsi="Calibri" w:cs="Calibri"/>
          <w:color w:val="808080"/>
          <w:sz w:val="20"/>
          <w:szCs w:val="20"/>
        </w:rPr>
        <w:t>, cuenta con 4 Bibliotecas, repartidas entre 4 centros, a las que pueden acceder todos nuestros alumnos. Son:</w:t>
      </w:r>
    </w:p>
    <w:p w14:paraId="1AC2E21C"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La </w:t>
      </w:r>
      <w:r w:rsidRPr="00FA7DB7">
        <w:rPr>
          <w:rFonts w:ascii="Calibri" w:hAnsi="Calibri"/>
          <w:b/>
          <w:bCs/>
          <w:color w:val="808080"/>
          <w:sz w:val="20"/>
          <w:szCs w:val="20"/>
          <w:u w:val="single"/>
        </w:rPr>
        <w:t xml:space="preserve">Biblioteca de Humanidades </w:t>
      </w:r>
      <w:r w:rsidRPr="00FA7DB7">
        <w:rPr>
          <w:rFonts w:ascii="Calibri" w:hAnsi="Calibri"/>
          <w:bCs/>
          <w:color w:val="808080"/>
          <w:sz w:val="20"/>
          <w:szCs w:val="20"/>
        </w:rPr>
        <w:t>se encuentra ubicada en Cádiz, en la Facultad de Filosofía y letras (Avda. Dr. Gómez Ulla s/n).</w:t>
      </w:r>
    </w:p>
    <w:p w14:paraId="41690D0F"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Formando parte de la Biblioteca del Campus de Cádiz, atiende principalmente las necesidades documentales de los usuarios adscritos a la Facultad de Filosofía y Letras, sirviendo de apoyo a la docencia y </w:t>
      </w:r>
      <w:proofErr w:type="spellStart"/>
      <w:r w:rsidRPr="00FA7DB7">
        <w:rPr>
          <w:rFonts w:ascii="Calibri" w:hAnsi="Calibri"/>
          <w:bCs/>
          <w:color w:val="808080"/>
          <w:sz w:val="20"/>
          <w:szCs w:val="20"/>
        </w:rPr>
        <w:t>discencia</w:t>
      </w:r>
      <w:proofErr w:type="spellEnd"/>
      <w:r w:rsidRPr="00FA7DB7">
        <w:rPr>
          <w:rFonts w:ascii="Calibri" w:hAnsi="Calibri"/>
          <w:bCs/>
          <w:color w:val="808080"/>
          <w:sz w:val="20"/>
          <w:szCs w:val="20"/>
        </w:rPr>
        <w:t xml:space="preserve"> en las diversas titulaciones que se imparten en dicho centro.</w:t>
      </w:r>
    </w:p>
    <w:p w14:paraId="7626DDD3"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Su fondo bibliográfico está compuesto por más de 200.000 monografías de carácter multidisciplinar y más de 1.500 títulos de publicaciones periódicas, cubriendo principalmente las áreas temáticas de Filología, Historia, Geografía, Filosofía, Arte y Arqueología. Existe igualmente una abundante colección de materiales especiales (</w:t>
      </w:r>
      <w:proofErr w:type="spellStart"/>
      <w:r w:rsidRPr="00FA7DB7">
        <w:rPr>
          <w:rFonts w:ascii="Calibri" w:hAnsi="Calibri"/>
          <w:bCs/>
          <w:color w:val="808080"/>
          <w:sz w:val="20"/>
          <w:szCs w:val="20"/>
        </w:rPr>
        <w:t>CDs</w:t>
      </w:r>
      <w:proofErr w:type="spellEnd"/>
      <w:r w:rsidRPr="00FA7DB7">
        <w:rPr>
          <w:rFonts w:ascii="Calibri" w:hAnsi="Calibri"/>
          <w:bCs/>
          <w:color w:val="808080"/>
          <w:sz w:val="20"/>
          <w:szCs w:val="20"/>
        </w:rPr>
        <w:t xml:space="preserve">, casetes, videos, </w:t>
      </w:r>
      <w:proofErr w:type="spellStart"/>
      <w:r w:rsidRPr="00FA7DB7">
        <w:rPr>
          <w:rFonts w:ascii="Calibri" w:hAnsi="Calibri"/>
          <w:bCs/>
          <w:color w:val="808080"/>
          <w:sz w:val="20"/>
          <w:szCs w:val="20"/>
        </w:rPr>
        <w:t>microformas</w:t>
      </w:r>
      <w:proofErr w:type="spellEnd"/>
      <w:r w:rsidRPr="00FA7DB7">
        <w:rPr>
          <w:rFonts w:ascii="Calibri" w:hAnsi="Calibri"/>
          <w:bCs/>
          <w:color w:val="808080"/>
          <w:sz w:val="20"/>
          <w:szCs w:val="20"/>
        </w:rPr>
        <w:t>, ...etc.) A destacar el fondo musical que forma parte de la colección del Centro de Recursos Culturales, y la Biblioteca Alexander Pushkin, que sustenta los estudios sobre lengua y cultura rusa.</w:t>
      </w:r>
    </w:p>
    <w:p w14:paraId="4C18DEA3"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La mayor parte de los fondos de la biblioteca se localiza en estanterías de acceso libre. El material especial (</w:t>
      </w:r>
      <w:proofErr w:type="spellStart"/>
      <w:r w:rsidRPr="00FA7DB7">
        <w:rPr>
          <w:rFonts w:ascii="Calibri" w:hAnsi="Calibri"/>
          <w:bCs/>
          <w:color w:val="808080"/>
          <w:sz w:val="20"/>
          <w:szCs w:val="20"/>
        </w:rPr>
        <w:t>cd-rom</w:t>
      </w:r>
      <w:proofErr w:type="spellEnd"/>
      <w:r w:rsidRPr="00FA7DB7">
        <w:rPr>
          <w:rFonts w:ascii="Calibri" w:hAnsi="Calibri"/>
          <w:bCs/>
          <w:color w:val="808080"/>
          <w:sz w:val="20"/>
          <w:szCs w:val="20"/>
        </w:rPr>
        <w:t>, microfichas...) se encuentra situado en el área del mostrador de préstamo y hay que solicitarlo al personal del mismo.</w:t>
      </w:r>
    </w:p>
    <w:p w14:paraId="7121FE23"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Entre otros la biblioteca ofrece esto servicios: consulta de catálogo, acceso a recursos electrónicos, formación de usuarios, préstamo de documentos a domicilio, préstamo de portátiles, información bibliográfica, préstamo interbibliotecario y digitalización y reproducción de microformas.</w:t>
      </w:r>
    </w:p>
    <w:p w14:paraId="401F6646"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La biblioteca dispone de 6 salas de trabajo en grupo, con un total de 48 plazas, y de otros 250 puestos de lectura repartidos por los distintos espacios de la misma.</w:t>
      </w:r>
    </w:p>
    <w:p w14:paraId="0FA35217"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La </w:t>
      </w:r>
      <w:r w:rsidRPr="00FA7DB7">
        <w:rPr>
          <w:rFonts w:ascii="Calibri" w:hAnsi="Calibri"/>
          <w:b/>
          <w:bCs/>
          <w:color w:val="808080"/>
          <w:sz w:val="20"/>
          <w:szCs w:val="20"/>
          <w:u w:val="single"/>
        </w:rPr>
        <w:t>Biblioteca de Ciencias de la Salud</w:t>
      </w:r>
      <w:r w:rsidRPr="00FA7DB7">
        <w:rPr>
          <w:rFonts w:ascii="Calibri" w:hAnsi="Calibri"/>
          <w:bCs/>
          <w:color w:val="808080"/>
          <w:sz w:val="20"/>
          <w:szCs w:val="20"/>
        </w:rPr>
        <w:t xml:space="preserve">, se encuentra ubicada en el Campus de Cádiz en el edificio de los Servicios Centrales “Andrés Segovia”. </w:t>
      </w:r>
    </w:p>
    <w:p w14:paraId="0790FAD9"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Es una sección de la Biblioteca de la Universidad de Cádiz que atiende las necesidades documentales de los usuarios adscritos a la Facultad de Medicina.</w:t>
      </w:r>
    </w:p>
    <w:p w14:paraId="5FF41D0A"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Sirve de apoyo a la docencia y </w:t>
      </w:r>
      <w:proofErr w:type="spellStart"/>
      <w:r w:rsidRPr="00FA7DB7">
        <w:rPr>
          <w:rFonts w:ascii="Calibri" w:hAnsi="Calibri"/>
          <w:bCs/>
          <w:color w:val="808080"/>
          <w:sz w:val="20"/>
          <w:szCs w:val="20"/>
        </w:rPr>
        <w:t>discencia</w:t>
      </w:r>
      <w:proofErr w:type="spellEnd"/>
      <w:r w:rsidRPr="00FA7DB7">
        <w:rPr>
          <w:rFonts w:ascii="Calibri" w:hAnsi="Calibri"/>
          <w:bCs/>
          <w:color w:val="808080"/>
          <w:sz w:val="20"/>
          <w:szCs w:val="20"/>
        </w:rPr>
        <w:t xml:space="preserve"> en las diversas titulaciones que se imparten en dicho centro.</w:t>
      </w:r>
    </w:p>
    <w:p w14:paraId="330AEA0A" w14:textId="1D55D9ED"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Su instalación cuenta con cinco salas de trabajo, aula de formación y videoconferencia, así como un equipamiento de ordenadores portátiles disponible </w:t>
      </w:r>
      <w:r w:rsidR="009121D8" w:rsidRPr="00FA7DB7">
        <w:rPr>
          <w:rFonts w:ascii="Calibri" w:hAnsi="Calibri"/>
          <w:bCs/>
          <w:color w:val="808080"/>
          <w:sz w:val="20"/>
          <w:szCs w:val="20"/>
        </w:rPr>
        <w:t>para préstamo</w:t>
      </w:r>
      <w:r w:rsidRPr="00FA7DB7">
        <w:rPr>
          <w:rFonts w:ascii="Calibri" w:hAnsi="Calibri"/>
          <w:bCs/>
          <w:color w:val="808080"/>
          <w:sz w:val="20"/>
          <w:szCs w:val="20"/>
        </w:rPr>
        <w:t xml:space="preserve"> diario </w:t>
      </w:r>
      <w:r w:rsidR="009121D8" w:rsidRPr="00FA7DB7">
        <w:rPr>
          <w:rFonts w:ascii="Calibri" w:hAnsi="Calibri"/>
          <w:bCs/>
          <w:color w:val="808080"/>
          <w:sz w:val="20"/>
          <w:szCs w:val="20"/>
        </w:rPr>
        <w:t>y por</w:t>
      </w:r>
      <w:r w:rsidRPr="00FA7DB7">
        <w:rPr>
          <w:rFonts w:ascii="Calibri" w:hAnsi="Calibri"/>
          <w:bCs/>
          <w:color w:val="808080"/>
          <w:sz w:val="20"/>
          <w:szCs w:val="20"/>
        </w:rPr>
        <w:t xml:space="preserve"> curso académico.</w:t>
      </w:r>
    </w:p>
    <w:p w14:paraId="44C16091"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Tiene una Superficie de 1.320 m2, 182 puestos de lectura, 431 estanterías de libre acceso y 1.255 metros lineales de estanterías en depósito.</w:t>
      </w:r>
    </w:p>
    <w:p w14:paraId="49A279D6"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Tiene acceso a miles de publicaciones periódicas del área Biomédica a través de portales de publicaciones y por suscripciones individualizadas accesibles desde nuestra web.</w:t>
      </w:r>
    </w:p>
    <w:p w14:paraId="7928D471"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Los fondos bibliográficos para alumnos se actualizan anualmente, adquiriéndose los textos recomendados por los profesores como bibliografía recomendada de sus asignaturas.</w:t>
      </w:r>
    </w:p>
    <w:p w14:paraId="2E6ADAC1"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En el origen de la Biblioteca se encuentra un fondo antiguo muy importante que en su mayoría proceden de los fondos de la Biblioteca del Real Colegio de Medicina y Cirugía de la Armada (1748-1844), que más tarde pasarán a formar parte de </w:t>
      </w:r>
      <w:proofErr w:type="gramStart"/>
      <w:r w:rsidRPr="00FA7DB7">
        <w:rPr>
          <w:rFonts w:ascii="Calibri" w:hAnsi="Calibri"/>
          <w:bCs/>
          <w:color w:val="808080"/>
          <w:sz w:val="20"/>
          <w:szCs w:val="20"/>
        </w:rPr>
        <w:t>la  Facultad</w:t>
      </w:r>
      <w:proofErr w:type="gramEnd"/>
      <w:r w:rsidRPr="00FA7DB7">
        <w:rPr>
          <w:rFonts w:ascii="Calibri" w:hAnsi="Calibri"/>
          <w:bCs/>
          <w:color w:val="808080"/>
          <w:sz w:val="20"/>
          <w:szCs w:val="20"/>
        </w:rPr>
        <w:t xml:space="preserve"> de Medicina.  Estos fondos se encuentran actualmente ubicados en la Biblioteca del Patrimonio de la UCA donde se pueden consultar.</w:t>
      </w:r>
    </w:p>
    <w:p w14:paraId="5456E093"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La </w:t>
      </w:r>
      <w:r w:rsidRPr="00FA7DB7">
        <w:rPr>
          <w:rFonts w:ascii="Calibri" w:hAnsi="Calibri"/>
          <w:b/>
          <w:bCs/>
          <w:color w:val="808080"/>
          <w:sz w:val="20"/>
          <w:szCs w:val="20"/>
          <w:u w:val="single"/>
        </w:rPr>
        <w:t>Biblioteca de Enfermería y Fisioterapia</w:t>
      </w:r>
      <w:r w:rsidRPr="00FA7DB7">
        <w:rPr>
          <w:rFonts w:ascii="Calibri" w:hAnsi="Calibri"/>
          <w:bCs/>
          <w:color w:val="808080"/>
          <w:sz w:val="20"/>
          <w:szCs w:val="20"/>
        </w:rPr>
        <w:t xml:space="preserve"> se encuentra ubicada en la Facultad de Enfermería y Fisioterapia. (Av. Ana de </w:t>
      </w:r>
      <w:proofErr w:type="spellStart"/>
      <w:r w:rsidRPr="00FA7DB7">
        <w:rPr>
          <w:rFonts w:ascii="Calibri" w:hAnsi="Calibri"/>
          <w:bCs/>
          <w:color w:val="808080"/>
          <w:sz w:val="20"/>
          <w:szCs w:val="20"/>
        </w:rPr>
        <w:t>Viya</w:t>
      </w:r>
      <w:proofErr w:type="spellEnd"/>
      <w:r w:rsidRPr="00FA7DB7">
        <w:rPr>
          <w:rFonts w:ascii="Calibri" w:hAnsi="Calibri"/>
          <w:bCs/>
          <w:color w:val="808080"/>
          <w:sz w:val="20"/>
          <w:szCs w:val="20"/>
        </w:rPr>
        <w:t>, 52).</w:t>
      </w:r>
    </w:p>
    <w:p w14:paraId="23F245AA"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Formando parte de la Biblioteca del Campus de Cádiz, atiende principalmente las necesidades documentales de los usuarios adscritos a la Facultad de Enfermería y Fisioterapia, sirviendo de apoyo a la docencia y </w:t>
      </w:r>
      <w:proofErr w:type="spellStart"/>
      <w:r w:rsidRPr="00FA7DB7">
        <w:rPr>
          <w:rFonts w:ascii="Calibri" w:hAnsi="Calibri"/>
          <w:bCs/>
          <w:color w:val="808080"/>
          <w:sz w:val="20"/>
          <w:szCs w:val="20"/>
        </w:rPr>
        <w:t>discencia</w:t>
      </w:r>
      <w:proofErr w:type="spellEnd"/>
      <w:r w:rsidRPr="00FA7DB7">
        <w:rPr>
          <w:rFonts w:ascii="Calibri" w:hAnsi="Calibri"/>
          <w:bCs/>
          <w:color w:val="808080"/>
          <w:sz w:val="20"/>
          <w:szCs w:val="20"/>
        </w:rPr>
        <w:t xml:space="preserve"> en las diversas titulaciones que se imparten en dicho centro.</w:t>
      </w:r>
    </w:p>
    <w:p w14:paraId="20675191"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Ocupa una Superficie de 242 m2, con 80 puestos de lectura, y 29 (174 baldas) estanterías de libre acceso.</w:t>
      </w:r>
    </w:p>
    <w:p w14:paraId="36B0F41B"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Ésta cuenta con ordenadores portátiles de préstamo diario y de préstamo por curso académico.</w:t>
      </w:r>
    </w:p>
    <w:p w14:paraId="3D916DC6"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
          <w:bCs/>
          <w:color w:val="808080"/>
          <w:sz w:val="20"/>
          <w:szCs w:val="20"/>
          <w:u w:val="single"/>
        </w:rPr>
        <w:t>La Biblioteca de Ciencias Sociales y Jurídicas</w:t>
      </w:r>
      <w:r w:rsidRPr="00FA7DB7">
        <w:rPr>
          <w:rFonts w:ascii="Calibri" w:hAnsi="Calibri"/>
          <w:bCs/>
          <w:color w:val="808080"/>
          <w:sz w:val="20"/>
          <w:szCs w:val="20"/>
        </w:rPr>
        <w:t xml:space="preserve"> (ubicada en C/ Duque de Nájera nº8).</w:t>
      </w:r>
    </w:p>
    <w:p w14:paraId="0F2D2717"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La Biblioteca de Ciencias Sociales y Jurídicas es una sección de la Biblioteca de la Universidad de Cádiz que gestiona los recursos de información y los espacios de consulta, trabajo y aprendizaje destinados a los usuarios adscritos a la Facultad de Ciencias Económicas y Empresariales y a la Facultad de Ciencias del Trabajo.</w:t>
      </w:r>
    </w:p>
    <w:p w14:paraId="52414EE2"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Sirve de apoyo a la docencia y </w:t>
      </w:r>
      <w:proofErr w:type="spellStart"/>
      <w:r w:rsidRPr="00FA7DB7">
        <w:rPr>
          <w:rFonts w:ascii="Calibri" w:hAnsi="Calibri"/>
          <w:bCs/>
          <w:color w:val="808080"/>
          <w:sz w:val="20"/>
          <w:szCs w:val="20"/>
        </w:rPr>
        <w:t>discencia</w:t>
      </w:r>
      <w:proofErr w:type="spellEnd"/>
      <w:r w:rsidRPr="00FA7DB7">
        <w:rPr>
          <w:rFonts w:ascii="Calibri" w:hAnsi="Calibri"/>
          <w:bCs/>
          <w:color w:val="808080"/>
          <w:sz w:val="20"/>
          <w:szCs w:val="20"/>
        </w:rPr>
        <w:t xml:space="preserve"> en las diversas titulaciones que se imparten en dicho centro. </w:t>
      </w:r>
    </w:p>
    <w:p w14:paraId="2E7C106A"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lastRenderedPageBreak/>
        <w:t>Ocupa una superficie total de 1.305m2, cuenta con 365 puestos de lectura y 1.977 m.  de estanterías de los cuales 1.952 m son de libre acceso y los 25 m restantes son estanterías de depósito.</w:t>
      </w:r>
    </w:p>
    <w:p w14:paraId="688E83F4" w14:textId="77777777" w:rsidR="00274C11" w:rsidRPr="00FA7DB7" w:rsidRDefault="00274C11" w:rsidP="00274C11">
      <w:pPr>
        <w:spacing w:before="120" w:after="120" w:line="240" w:lineRule="auto"/>
        <w:jc w:val="both"/>
        <w:outlineLvl w:val="2"/>
        <w:rPr>
          <w:rFonts w:ascii="Calibri" w:hAnsi="Calibri"/>
          <w:bCs/>
          <w:color w:val="808080"/>
          <w:sz w:val="20"/>
          <w:szCs w:val="20"/>
        </w:rPr>
      </w:pPr>
      <w:r w:rsidRPr="00FA7DB7">
        <w:rPr>
          <w:rFonts w:ascii="Calibri" w:hAnsi="Calibri"/>
          <w:bCs/>
          <w:color w:val="808080"/>
          <w:sz w:val="20"/>
          <w:szCs w:val="20"/>
        </w:rPr>
        <w:t xml:space="preserve"> Ésta cuenta con: 9 Salas de Trabajo, Aula de Formación, Espacio de Aprendizaje y ordenadores portátiles de préstamo diario y de préstamo por curso académico.</w:t>
      </w:r>
    </w:p>
    <w:p w14:paraId="304AAC73" w14:textId="77777777" w:rsidR="00274C11" w:rsidRPr="00FA7DB7" w:rsidRDefault="00274C11" w:rsidP="00954CBA">
      <w:pPr>
        <w:spacing w:before="100" w:beforeAutospacing="1" w:after="0" w:line="240" w:lineRule="auto"/>
        <w:jc w:val="both"/>
        <w:outlineLvl w:val="2"/>
        <w:rPr>
          <w:rFonts w:ascii="Calibri" w:hAnsi="Calibri"/>
          <w:bCs/>
          <w:color w:val="808080"/>
          <w:sz w:val="20"/>
          <w:szCs w:val="20"/>
        </w:rPr>
      </w:pPr>
    </w:p>
    <w:p w14:paraId="3E69127D" w14:textId="77777777" w:rsidR="00274C11" w:rsidRPr="00FA7DB7" w:rsidRDefault="00274C11" w:rsidP="00954CBA">
      <w:pPr>
        <w:spacing w:before="120" w:after="100" w:afterAutospacing="1" w:line="240" w:lineRule="auto"/>
        <w:jc w:val="both"/>
        <w:outlineLvl w:val="2"/>
        <w:rPr>
          <w:rFonts w:ascii="Calibri" w:hAnsi="Calibri"/>
          <w:i/>
          <w:iCs/>
          <w:color w:val="FB2DCF"/>
          <w:sz w:val="20"/>
          <w:szCs w:val="20"/>
        </w:rPr>
      </w:pPr>
      <w:r w:rsidRPr="00FA7DB7">
        <w:rPr>
          <w:rFonts w:ascii="Calibri" w:hAnsi="Calibri"/>
          <w:color w:val="FB2DCF"/>
          <w:sz w:val="20"/>
          <w:szCs w:val="20"/>
        </w:rPr>
        <w:t xml:space="preserve">La </w:t>
      </w:r>
      <w:r w:rsidRPr="00FA7DB7">
        <w:rPr>
          <w:rFonts w:ascii="Calibri" w:hAnsi="Calibri"/>
          <w:i/>
          <w:iCs/>
          <w:color w:val="FB2DCF"/>
          <w:sz w:val="20"/>
          <w:szCs w:val="20"/>
        </w:rPr>
        <w:t>Biblioteca de Campus de Jerez</w:t>
      </w:r>
      <w:r w:rsidRPr="00FA7DB7">
        <w:rPr>
          <w:rFonts w:ascii="Calibri" w:hAnsi="Calibri"/>
          <w:color w:val="FB2DCF"/>
          <w:sz w:val="20"/>
          <w:szCs w:val="20"/>
        </w:rPr>
        <w:t xml:space="preserve"> t</w:t>
      </w:r>
      <w:r w:rsidRPr="00FA7DB7">
        <w:rPr>
          <w:rFonts w:ascii="Calibri" w:hAnsi="Calibri"/>
          <w:i/>
          <w:iCs/>
          <w:color w:val="FB2DCF"/>
          <w:sz w:val="20"/>
          <w:szCs w:val="20"/>
        </w:rPr>
        <w:t>iene una colección formada por alrededor de 100.00 ejemplares de monografías en papel, más unos 500 títulos de revistas. Dentro de la amplia colección de recursos electrónicos de la Biblioteca de la Universidad, se encuentran algunos cuya temática es afín a los estudios que se imparten en este Campus, como son Aranzadi/</w:t>
      </w:r>
      <w:proofErr w:type="spellStart"/>
      <w:r w:rsidRPr="00FA7DB7">
        <w:rPr>
          <w:rFonts w:ascii="Calibri" w:hAnsi="Calibri"/>
          <w:i/>
          <w:iCs/>
          <w:color w:val="FB2DCF"/>
          <w:sz w:val="20"/>
          <w:szCs w:val="20"/>
        </w:rPr>
        <w:t>Westlaw</w:t>
      </w:r>
      <w:proofErr w:type="spellEnd"/>
      <w:r w:rsidRPr="00FA7DB7">
        <w:rPr>
          <w:rFonts w:ascii="Calibri" w:hAnsi="Calibri"/>
          <w:i/>
          <w:iCs/>
          <w:color w:val="FB2DCF"/>
          <w:sz w:val="20"/>
          <w:szCs w:val="20"/>
        </w:rPr>
        <w:t xml:space="preserve">, Tirant online, La Ley Digital, </w:t>
      </w:r>
      <w:proofErr w:type="spellStart"/>
      <w:r w:rsidRPr="00FA7DB7">
        <w:rPr>
          <w:rFonts w:ascii="Calibri" w:hAnsi="Calibri"/>
          <w:i/>
          <w:iCs/>
          <w:color w:val="FB2DCF"/>
          <w:sz w:val="20"/>
          <w:szCs w:val="20"/>
        </w:rPr>
        <w:t>Smarteca</w:t>
      </w:r>
      <w:proofErr w:type="spellEnd"/>
      <w:r w:rsidRPr="00FA7DB7">
        <w:rPr>
          <w:rFonts w:ascii="Calibri" w:hAnsi="Calibri"/>
          <w:i/>
          <w:iCs/>
          <w:color w:val="FB2DCF"/>
          <w:sz w:val="20"/>
          <w:szCs w:val="20"/>
        </w:rPr>
        <w:t xml:space="preserve">, </w:t>
      </w:r>
      <w:proofErr w:type="spellStart"/>
      <w:r w:rsidRPr="00FA7DB7">
        <w:rPr>
          <w:rFonts w:ascii="Calibri" w:hAnsi="Calibri"/>
          <w:i/>
          <w:iCs/>
          <w:color w:val="FB2DCF"/>
          <w:sz w:val="20"/>
          <w:szCs w:val="20"/>
        </w:rPr>
        <w:t>Vlex</w:t>
      </w:r>
      <w:proofErr w:type="spellEnd"/>
      <w:r w:rsidRPr="00FA7DB7">
        <w:rPr>
          <w:rFonts w:ascii="Calibri" w:hAnsi="Calibri"/>
          <w:i/>
          <w:iCs/>
          <w:color w:val="FB2DCF"/>
          <w:sz w:val="20"/>
          <w:szCs w:val="20"/>
        </w:rPr>
        <w:t xml:space="preserve">, </w:t>
      </w:r>
      <w:proofErr w:type="spellStart"/>
      <w:r w:rsidRPr="00FA7DB7">
        <w:rPr>
          <w:rFonts w:ascii="Calibri" w:hAnsi="Calibri"/>
          <w:i/>
          <w:iCs/>
          <w:color w:val="FB2DCF"/>
          <w:sz w:val="20"/>
          <w:szCs w:val="20"/>
        </w:rPr>
        <w:t>ClinicalKey</w:t>
      </w:r>
      <w:proofErr w:type="spellEnd"/>
      <w:r w:rsidRPr="00FA7DB7">
        <w:rPr>
          <w:rFonts w:ascii="Calibri" w:hAnsi="Calibri"/>
          <w:i/>
          <w:iCs/>
          <w:color w:val="FB2DCF"/>
          <w:sz w:val="20"/>
          <w:szCs w:val="20"/>
        </w:rPr>
        <w:t xml:space="preserve">, </w:t>
      </w:r>
      <w:proofErr w:type="spellStart"/>
      <w:r w:rsidRPr="00FA7DB7">
        <w:rPr>
          <w:rFonts w:ascii="Calibri" w:hAnsi="Calibri"/>
          <w:i/>
          <w:iCs/>
          <w:color w:val="FB2DCF"/>
          <w:sz w:val="20"/>
          <w:szCs w:val="20"/>
        </w:rPr>
        <w:t>Enferteca</w:t>
      </w:r>
      <w:proofErr w:type="spellEnd"/>
      <w:r w:rsidRPr="00FA7DB7">
        <w:rPr>
          <w:rFonts w:ascii="Calibri" w:hAnsi="Calibri"/>
          <w:i/>
          <w:iCs/>
          <w:color w:val="FB2DCF"/>
          <w:sz w:val="20"/>
          <w:szCs w:val="20"/>
        </w:rPr>
        <w:t xml:space="preserve">, </w:t>
      </w:r>
      <w:proofErr w:type="spellStart"/>
      <w:r w:rsidRPr="00FA7DB7">
        <w:rPr>
          <w:rFonts w:ascii="Calibri" w:hAnsi="Calibri"/>
          <w:i/>
          <w:iCs/>
          <w:color w:val="FB2DCF"/>
          <w:sz w:val="20"/>
          <w:szCs w:val="20"/>
        </w:rPr>
        <w:t>One</w:t>
      </w:r>
      <w:proofErr w:type="spellEnd"/>
      <w:r w:rsidRPr="00FA7DB7">
        <w:rPr>
          <w:rFonts w:ascii="Calibri" w:hAnsi="Calibri"/>
          <w:i/>
          <w:iCs/>
          <w:color w:val="FB2DCF"/>
          <w:sz w:val="20"/>
          <w:szCs w:val="20"/>
        </w:rPr>
        <w:t xml:space="preserve"> Business, UNWTO </w:t>
      </w:r>
      <w:proofErr w:type="spellStart"/>
      <w:r w:rsidRPr="00FA7DB7">
        <w:rPr>
          <w:rFonts w:ascii="Calibri" w:hAnsi="Calibri"/>
          <w:i/>
          <w:iCs/>
          <w:color w:val="FB2DCF"/>
          <w:sz w:val="20"/>
          <w:szCs w:val="20"/>
        </w:rPr>
        <w:t>eLibrary</w:t>
      </w:r>
      <w:proofErr w:type="spellEnd"/>
      <w:r w:rsidRPr="00FA7DB7">
        <w:rPr>
          <w:rFonts w:ascii="Calibri" w:hAnsi="Calibri"/>
          <w:i/>
          <w:iCs/>
          <w:color w:val="FB2DCF"/>
          <w:sz w:val="20"/>
          <w:szCs w:val="20"/>
        </w:rPr>
        <w:t>, etc. La Biblioteca tiene construida 8.079 m², que se distribuyen en 3 plantas, más un semisótano que alberga la Hemeroteca de la Biblioteca de la UCA. Sus instalaciones cuentan con 3 Salas de Lectura, con un total de 512 puestos, 17 salas de trabajo en grupo e individuales, Espacio de Aprendizaje y Sala de Fondo Antiguo donde están depositadas obras publicadas entre los siglos XVI y XX, entre las que se halla la antigua biblioteca de la Escuela Pericial de Empresariales y Comercio, además de los fondos especializados en Derecho Marítimo donados por el profesor Rodríguez Carrión. Los servicios ofertados incluyen desde el préstamo de libros, portátiles y espacios hasta cursos de formación especializados sobre búsquedas bibliográficas por áreas temáticas, apoyo al TFG/TFM o gestores de referencias.</w:t>
      </w:r>
    </w:p>
    <w:p w14:paraId="2925F9E1" w14:textId="77777777" w:rsidR="00274C11" w:rsidRPr="00FA7DB7" w:rsidRDefault="00274C11" w:rsidP="00274C11">
      <w:pPr>
        <w:autoSpaceDE w:val="0"/>
        <w:autoSpaceDN w:val="0"/>
        <w:adjustRightInd w:val="0"/>
        <w:spacing w:after="120" w:line="240" w:lineRule="auto"/>
        <w:jc w:val="both"/>
        <w:rPr>
          <w:rFonts w:ascii="Calibri" w:eastAsia="Calibri" w:hAnsi="Calibri" w:cs="Calibri"/>
          <w:color w:val="7030A0"/>
          <w:sz w:val="20"/>
          <w:szCs w:val="20"/>
        </w:rPr>
      </w:pPr>
    </w:p>
    <w:p w14:paraId="30EFFBA4" w14:textId="77777777" w:rsidR="00274C11" w:rsidRPr="00FA7DB7" w:rsidRDefault="00274C11" w:rsidP="00274C11">
      <w:pPr>
        <w:autoSpaceDE w:val="0"/>
        <w:autoSpaceDN w:val="0"/>
        <w:adjustRightInd w:val="0"/>
        <w:spacing w:after="120" w:line="240" w:lineRule="auto"/>
        <w:jc w:val="both"/>
        <w:rPr>
          <w:rFonts w:ascii="Calibri" w:eastAsia="Calibri" w:hAnsi="Calibri" w:cs="Calibri"/>
          <w:color w:val="7030A0"/>
          <w:sz w:val="20"/>
          <w:szCs w:val="20"/>
        </w:rPr>
      </w:pPr>
      <w:r w:rsidRPr="00FA7DB7">
        <w:rPr>
          <w:rFonts w:ascii="Calibri" w:eastAsia="Calibri" w:hAnsi="Calibri" w:cs="Calibri"/>
          <w:color w:val="7030A0"/>
          <w:sz w:val="20"/>
          <w:szCs w:val="20"/>
        </w:rPr>
        <w:t>"La Biblioteca del Campus de la Bahía de Algeciras está distribuida en 3 plantas que ocupan en total 1.325,15 m</w:t>
      </w:r>
      <w:proofErr w:type="gramStart"/>
      <w:r w:rsidRPr="00FA7DB7">
        <w:rPr>
          <w:rFonts w:ascii="Calibri" w:eastAsia="Calibri" w:hAnsi="Calibri" w:cs="Calibri"/>
          <w:color w:val="7030A0"/>
          <w:sz w:val="20"/>
          <w:szCs w:val="20"/>
        </w:rPr>
        <w:t>2,  y</w:t>
      </w:r>
      <w:proofErr w:type="gramEnd"/>
      <w:r w:rsidRPr="00FA7DB7">
        <w:rPr>
          <w:rFonts w:ascii="Calibri" w:eastAsia="Calibri" w:hAnsi="Calibri" w:cs="Calibri"/>
          <w:color w:val="7030A0"/>
          <w:sz w:val="20"/>
          <w:szCs w:val="20"/>
        </w:rPr>
        <w:t xml:space="preserve"> entre otros equipamientos y espacios, destacan sus 15.000 ejemplares de fondo bibliográfico, 176 puestos de lectura, 10 salas de trabajo en grupo con capacidad para 44 puestos y una sala de aprendizaje con capacidad para 24 puestos. El mismo edificio cuenta con parking en planta sótano para 32 plazas (2 para personas con discapacidad) y 4 aulas para docencia en la planta superior conectada con el edificio principal de la Escuela Politécnica".</w:t>
      </w:r>
    </w:p>
    <w:bookmarkEnd w:id="0"/>
    <w:p w14:paraId="3A6C38D6" w14:textId="77777777" w:rsidR="00274C11" w:rsidRPr="00FA7DB7" w:rsidRDefault="00274C11" w:rsidP="00274C11">
      <w:pPr>
        <w:autoSpaceDE w:val="0"/>
        <w:autoSpaceDN w:val="0"/>
        <w:adjustRightInd w:val="0"/>
        <w:spacing w:after="120" w:line="240" w:lineRule="auto"/>
        <w:jc w:val="both"/>
        <w:rPr>
          <w:rFonts w:ascii="Calibri" w:eastAsia="Calibri" w:hAnsi="Calibri" w:cs="Calibri"/>
          <w:color w:val="7030A0"/>
          <w:sz w:val="20"/>
          <w:szCs w:val="20"/>
        </w:rPr>
      </w:pPr>
    </w:p>
    <w:p w14:paraId="66D244A2" w14:textId="44152C59" w:rsidR="005A3FCF" w:rsidRPr="00FA7DB7" w:rsidRDefault="005A3FCF" w:rsidP="005A3FCF">
      <w:pPr>
        <w:autoSpaceDE w:val="0"/>
        <w:autoSpaceDN w:val="0"/>
        <w:adjustRightInd w:val="0"/>
        <w:spacing w:after="120" w:line="240" w:lineRule="auto"/>
        <w:jc w:val="both"/>
        <w:rPr>
          <w:rFonts w:asciiTheme="minorHAnsi" w:hAnsiTheme="minorHAnsi" w:cstheme="minorHAnsi"/>
          <w:b/>
          <w:bCs/>
          <w:i/>
          <w:sz w:val="20"/>
          <w:szCs w:val="20"/>
        </w:rPr>
      </w:pPr>
      <w:r w:rsidRPr="00FA7DB7">
        <w:rPr>
          <w:rFonts w:asciiTheme="minorHAnsi" w:hAnsiTheme="minorHAnsi" w:cstheme="minorHAnsi"/>
          <w:b/>
          <w:bCs/>
          <w:i/>
          <w:sz w:val="20"/>
          <w:szCs w:val="20"/>
        </w:rPr>
        <w:t>b) Campus virtual.</w:t>
      </w:r>
    </w:p>
    <w:p w14:paraId="2B9FDA16" w14:textId="66890AB7" w:rsidR="005A3FCF" w:rsidRPr="00FA7DB7" w:rsidRDefault="005A3FCF" w:rsidP="005A3FCF">
      <w:pPr>
        <w:autoSpaceDE w:val="0"/>
        <w:autoSpaceDN w:val="0"/>
        <w:adjustRightInd w:val="0"/>
        <w:spacing w:after="120" w:line="240" w:lineRule="auto"/>
        <w:jc w:val="both"/>
        <w:rPr>
          <w:rFonts w:asciiTheme="minorHAnsi" w:hAnsiTheme="minorHAnsi" w:cstheme="minorHAnsi"/>
          <w:bCs/>
          <w:color w:val="FF0000"/>
          <w:sz w:val="20"/>
          <w:szCs w:val="20"/>
        </w:rPr>
      </w:pPr>
      <w:r w:rsidRPr="00FA7DB7">
        <w:rPr>
          <w:rFonts w:asciiTheme="minorHAnsi" w:hAnsiTheme="minorHAnsi" w:cstheme="minorHAnsi"/>
          <w:bCs/>
          <w:sz w:val="20"/>
          <w:szCs w:val="20"/>
        </w:rPr>
        <w:t xml:space="preserve">Debe señalarse que la Universidad de Cádiz, y especialmente la </w:t>
      </w:r>
      <w:r w:rsidRPr="00FA7DB7">
        <w:rPr>
          <w:rFonts w:asciiTheme="minorHAnsi" w:hAnsiTheme="minorHAnsi" w:cstheme="minorHAnsi"/>
          <w:bCs/>
          <w:color w:val="FF0000"/>
          <w:sz w:val="20"/>
          <w:szCs w:val="20"/>
        </w:rPr>
        <w:t>Facultad</w:t>
      </w:r>
      <w:r w:rsidR="008A455E" w:rsidRPr="00FA7DB7">
        <w:rPr>
          <w:rFonts w:asciiTheme="minorHAnsi" w:hAnsiTheme="minorHAnsi" w:cstheme="minorHAnsi"/>
          <w:bCs/>
          <w:color w:val="FF0000"/>
          <w:sz w:val="20"/>
          <w:szCs w:val="20"/>
        </w:rPr>
        <w:t>/Escuela</w:t>
      </w:r>
      <w:r w:rsidRPr="00FA7DB7">
        <w:rPr>
          <w:rFonts w:asciiTheme="minorHAnsi" w:hAnsiTheme="minorHAnsi" w:cstheme="minorHAnsi"/>
          <w:bCs/>
          <w:color w:val="FF0000"/>
          <w:sz w:val="20"/>
          <w:szCs w:val="20"/>
        </w:rPr>
        <w:t xml:space="preserve"> d</w:t>
      </w:r>
      <w:r w:rsidR="008A455E" w:rsidRPr="00FA7DB7">
        <w:rPr>
          <w:rFonts w:asciiTheme="minorHAnsi" w:hAnsiTheme="minorHAnsi" w:cstheme="minorHAnsi"/>
          <w:bCs/>
          <w:color w:val="FF0000"/>
          <w:sz w:val="20"/>
          <w:szCs w:val="20"/>
        </w:rPr>
        <w:t>e XXXXXXXX</w:t>
      </w:r>
      <w:r w:rsidRPr="00FA7DB7">
        <w:rPr>
          <w:rFonts w:asciiTheme="minorHAnsi" w:hAnsiTheme="minorHAnsi" w:cstheme="minorHAnsi"/>
          <w:bCs/>
          <w:sz w:val="20"/>
          <w:szCs w:val="20"/>
        </w:rPr>
        <w:t xml:space="preserve">, han sido pioneras en el uso de herramientas de Campus Virtual. En la actualidad, el Vicerrectorado de Digitalización e Infraestructuras, mantiene el Campus Virtual de la UCA, en una plataforma informática que utiliza la aplicación de software libre Moodle. El Campus Virtual es una herramienta fundamental para el desarrollo de la docencia universitaria, por ello ha de ser modelado de acuerdo con las necesidades de los títulos y de los Centros con agilidad y flexibilidad. La dirección o vicerrectorado responsable del Campus Virtual tiene la misión de desarrollar el Campus Virtual integrando los servicios que le sean demandados por los títulos y Centros que conforman la Universidad. Igualmente, las incidencias que pudieran producirse durante el desarrollo de la actividad académica son resueltas por la dirección o vicerrectorado responsable del Campus Virtual. Dicha plataforma es utilizada por todas las asignaturas del </w:t>
      </w:r>
      <w:r w:rsidR="00954CBA" w:rsidRPr="00FA7DB7">
        <w:rPr>
          <w:rFonts w:asciiTheme="minorHAnsi" w:hAnsiTheme="minorHAnsi" w:cstheme="minorHAnsi"/>
          <w:bCs/>
          <w:color w:val="FF0000"/>
          <w:sz w:val="20"/>
          <w:szCs w:val="20"/>
        </w:rPr>
        <w:t>Máster</w:t>
      </w:r>
      <w:r w:rsidR="00DA5B90" w:rsidRPr="00FA7DB7">
        <w:rPr>
          <w:rFonts w:asciiTheme="minorHAnsi" w:hAnsiTheme="minorHAnsi" w:cstheme="minorHAnsi"/>
          <w:bCs/>
          <w:color w:val="FF0000"/>
          <w:sz w:val="20"/>
          <w:szCs w:val="20"/>
        </w:rPr>
        <w:t xml:space="preserve"> </w:t>
      </w:r>
      <w:r w:rsidR="009121D8" w:rsidRPr="00FA7DB7">
        <w:rPr>
          <w:rFonts w:asciiTheme="minorHAnsi" w:hAnsiTheme="minorHAnsi" w:cstheme="minorHAnsi"/>
          <w:bCs/>
          <w:color w:val="FF0000"/>
          <w:sz w:val="20"/>
          <w:szCs w:val="20"/>
        </w:rPr>
        <w:t xml:space="preserve">/ Grado </w:t>
      </w:r>
      <w:proofErr w:type="spellStart"/>
      <w:r w:rsidR="009121D8" w:rsidRPr="00FA7DB7">
        <w:rPr>
          <w:rFonts w:asciiTheme="minorHAnsi" w:hAnsiTheme="minorHAnsi" w:cstheme="minorHAnsi"/>
          <w:bCs/>
          <w:color w:val="FF0000"/>
          <w:sz w:val="20"/>
          <w:szCs w:val="20"/>
        </w:rPr>
        <w:t>xxxxx</w:t>
      </w:r>
      <w:proofErr w:type="spellEnd"/>
      <w:r w:rsidR="00DA5B90" w:rsidRPr="00FA7DB7">
        <w:rPr>
          <w:rFonts w:asciiTheme="minorHAnsi" w:hAnsiTheme="minorHAnsi" w:cstheme="minorHAnsi"/>
          <w:bCs/>
          <w:sz w:val="20"/>
          <w:szCs w:val="20"/>
        </w:rPr>
        <w:t xml:space="preserve">. </w:t>
      </w:r>
    </w:p>
    <w:p w14:paraId="2E7E52AA" w14:textId="77777777" w:rsidR="005A3FCF" w:rsidRPr="00FA7DB7" w:rsidRDefault="005A3FCF" w:rsidP="005A3FCF">
      <w:pPr>
        <w:spacing w:after="120" w:line="240" w:lineRule="auto"/>
        <w:jc w:val="both"/>
        <w:rPr>
          <w:rFonts w:asciiTheme="minorHAnsi" w:hAnsiTheme="minorHAnsi" w:cstheme="minorHAnsi"/>
          <w:b/>
          <w:bCs/>
          <w:i/>
          <w:sz w:val="20"/>
          <w:szCs w:val="20"/>
        </w:rPr>
      </w:pPr>
      <w:r w:rsidRPr="00FA7DB7">
        <w:rPr>
          <w:rFonts w:asciiTheme="minorHAnsi" w:hAnsiTheme="minorHAnsi" w:cstheme="minorHAnsi"/>
          <w:b/>
          <w:bCs/>
          <w:i/>
          <w:sz w:val="20"/>
          <w:szCs w:val="20"/>
        </w:rPr>
        <w:t>c) Acceso a internet.</w:t>
      </w:r>
    </w:p>
    <w:p w14:paraId="3F3600F9" w14:textId="1338965A" w:rsidR="005A3FCF" w:rsidRPr="00FA7DB7" w:rsidRDefault="005A3FCF" w:rsidP="005A3FCF">
      <w:pPr>
        <w:autoSpaceDE w:val="0"/>
        <w:autoSpaceDN w:val="0"/>
        <w:adjustRightInd w:val="0"/>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 xml:space="preserve">Nuestro Centro, dispone de tres sub‐redes wifi diferenciadas que dan servicio a todos los grupos de interés. La red </w:t>
      </w:r>
      <w:proofErr w:type="spellStart"/>
      <w:r w:rsidRPr="00FA7DB7">
        <w:rPr>
          <w:rFonts w:asciiTheme="minorHAnsi" w:hAnsiTheme="minorHAnsi" w:cstheme="minorHAnsi"/>
          <w:bCs/>
          <w:sz w:val="20"/>
          <w:szCs w:val="20"/>
        </w:rPr>
        <w:t>ucAirPublica</w:t>
      </w:r>
      <w:proofErr w:type="spellEnd"/>
      <w:r w:rsidRPr="00FA7DB7">
        <w:rPr>
          <w:rFonts w:asciiTheme="minorHAnsi" w:hAnsiTheme="minorHAnsi" w:cstheme="minorHAnsi"/>
          <w:bCs/>
          <w:sz w:val="20"/>
          <w:szCs w:val="20"/>
        </w:rPr>
        <w:t xml:space="preserve"> da servicio general a todos los estudiantes, la red </w:t>
      </w:r>
      <w:proofErr w:type="spellStart"/>
      <w:r w:rsidRPr="00FA7DB7">
        <w:rPr>
          <w:rFonts w:asciiTheme="minorHAnsi" w:hAnsiTheme="minorHAnsi" w:cstheme="minorHAnsi"/>
          <w:bCs/>
          <w:sz w:val="20"/>
          <w:szCs w:val="20"/>
        </w:rPr>
        <w:t>ucAir</w:t>
      </w:r>
      <w:proofErr w:type="spellEnd"/>
      <w:r w:rsidRPr="00FA7DB7">
        <w:rPr>
          <w:rFonts w:asciiTheme="minorHAnsi" w:hAnsiTheme="minorHAnsi" w:cstheme="minorHAnsi"/>
          <w:bCs/>
          <w:sz w:val="20"/>
          <w:szCs w:val="20"/>
        </w:rPr>
        <w:t xml:space="preserve"> está disponible para el PDI y P</w:t>
      </w:r>
      <w:r w:rsidR="00C455FC" w:rsidRPr="00FA7DB7">
        <w:rPr>
          <w:rFonts w:asciiTheme="minorHAnsi" w:hAnsiTheme="minorHAnsi" w:cstheme="minorHAnsi"/>
          <w:bCs/>
          <w:sz w:val="20"/>
          <w:szCs w:val="20"/>
        </w:rPr>
        <w:t>TG</w:t>
      </w:r>
      <w:r w:rsidRPr="00FA7DB7">
        <w:rPr>
          <w:rFonts w:asciiTheme="minorHAnsi" w:hAnsiTheme="minorHAnsi" w:cstheme="minorHAnsi"/>
          <w:bCs/>
          <w:sz w:val="20"/>
          <w:szCs w:val="20"/>
        </w:rPr>
        <w:t xml:space="preserve">AS y la red </w:t>
      </w:r>
      <w:proofErr w:type="spellStart"/>
      <w:r w:rsidRPr="00FA7DB7">
        <w:rPr>
          <w:rFonts w:asciiTheme="minorHAnsi" w:hAnsiTheme="minorHAnsi" w:cstheme="minorHAnsi"/>
          <w:bCs/>
          <w:sz w:val="20"/>
          <w:szCs w:val="20"/>
        </w:rPr>
        <w:t>Eduroam</w:t>
      </w:r>
      <w:proofErr w:type="spellEnd"/>
      <w:r w:rsidRPr="00FA7DB7">
        <w:rPr>
          <w:rFonts w:asciiTheme="minorHAnsi" w:hAnsiTheme="minorHAnsi" w:cstheme="minorHAnsi"/>
          <w:bCs/>
          <w:sz w:val="20"/>
          <w:szCs w:val="20"/>
        </w:rPr>
        <w:t xml:space="preserve"> ofrece servicio para el uso de profesores visitantes. La cobertura de la red permite cubrir todas las zonas comunes (pasillos, cafetería, </w:t>
      </w:r>
      <w:r w:rsidR="00814C19" w:rsidRPr="00FA7DB7">
        <w:rPr>
          <w:rFonts w:asciiTheme="minorHAnsi" w:hAnsiTheme="minorHAnsi" w:cstheme="minorHAnsi"/>
          <w:bCs/>
          <w:sz w:val="20"/>
          <w:szCs w:val="20"/>
        </w:rPr>
        <w:t>d</w:t>
      </w:r>
      <w:r w:rsidRPr="00FA7DB7">
        <w:rPr>
          <w:rFonts w:asciiTheme="minorHAnsi" w:hAnsiTheme="minorHAnsi" w:cstheme="minorHAnsi"/>
          <w:bCs/>
          <w:sz w:val="20"/>
          <w:szCs w:val="20"/>
        </w:rPr>
        <w:t xml:space="preserve">epartamentos, </w:t>
      </w:r>
      <w:r w:rsidR="00814C19" w:rsidRPr="00FA7DB7">
        <w:rPr>
          <w:rFonts w:asciiTheme="minorHAnsi" w:hAnsiTheme="minorHAnsi" w:cstheme="minorHAnsi"/>
          <w:bCs/>
          <w:sz w:val="20"/>
          <w:szCs w:val="20"/>
        </w:rPr>
        <w:t>d</w:t>
      </w:r>
      <w:r w:rsidRPr="00FA7DB7">
        <w:rPr>
          <w:rFonts w:asciiTheme="minorHAnsi" w:hAnsiTheme="minorHAnsi" w:cstheme="minorHAnsi"/>
          <w:bCs/>
          <w:sz w:val="20"/>
          <w:szCs w:val="20"/>
        </w:rPr>
        <w:t>ecanato), así como los espacios docentes tales como aulas, laboratorios, salas de estudio y de trabajo.</w:t>
      </w:r>
    </w:p>
    <w:p w14:paraId="15D039A9" w14:textId="77777777" w:rsidR="005A3FCF" w:rsidRPr="00FA7DB7" w:rsidRDefault="005A3FCF" w:rsidP="005A3FCF">
      <w:pPr>
        <w:spacing w:after="120" w:line="240" w:lineRule="auto"/>
        <w:jc w:val="both"/>
        <w:rPr>
          <w:rFonts w:asciiTheme="minorHAnsi" w:hAnsiTheme="minorHAnsi" w:cstheme="minorHAnsi"/>
          <w:b/>
          <w:bCs/>
          <w:i/>
          <w:sz w:val="20"/>
          <w:szCs w:val="20"/>
        </w:rPr>
      </w:pPr>
      <w:r w:rsidRPr="00FA7DB7">
        <w:rPr>
          <w:rFonts w:asciiTheme="minorHAnsi" w:hAnsiTheme="minorHAnsi" w:cstheme="minorHAnsi"/>
          <w:b/>
          <w:bCs/>
          <w:i/>
          <w:sz w:val="20"/>
          <w:szCs w:val="20"/>
        </w:rPr>
        <w:t>d) Buzón de Atención al Usuario (BAU).</w:t>
      </w:r>
    </w:p>
    <w:p w14:paraId="7040BCC4" w14:textId="77777777" w:rsidR="005A3FCF" w:rsidRPr="00FA7DB7" w:rsidRDefault="005A3FCF" w:rsidP="005A3FCF">
      <w:pPr>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Las consultas, quejas y reclamaciones, comunicaciones de incidencias docentes, sugerencias y felicitaciones de los usuarios se canalizan a través del Buzón de atención al usuario BAU (</w:t>
      </w:r>
      <w:hyperlink r:id="rId8" w:history="1">
        <w:r w:rsidRPr="00FA7DB7">
          <w:rPr>
            <w:rStyle w:val="Hipervnculo"/>
            <w:rFonts w:asciiTheme="minorHAnsi" w:hAnsiTheme="minorHAnsi" w:cstheme="minorHAnsi"/>
            <w:bCs/>
            <w:sz w:val="20"/>
            <w:szCs w:val="20"/>
          </w:rPr>
          <w:t>http://bau.uca.es</w:t>
        </w:r>
      </w:hyperlink>
      <w:r w:rsidRPr="00FA7DB7">
        <w:rPr>
          <w:rFonts w:asciiTheme="minorHAnsi" w:hAnsiTheme="minorHAnsi" w:cstheme="minorHAnsi"/>
          <w:bCs/>
          <w:sz w:val="20"/>
          <w:szCs w:val="20"/>
        </w:rPr>
        <w:t xml:space="preserve">) quien las dirige, según su naturaleza, a los responsables que correspondan (centros y departamentos). Esta herramienta, en diciembre de 2009, fue galardonada con el Premio a las Mejores Prácticas del Banco de Experiencia de </w:t>
      </w:r>
      <w:proofErr w:type="spellStart"/>
      <w:r w:rsidRPr="00FA7DB7">
        <w:rPr>
          <w:rFonts w:asciiTheme="minorHAnsi" w:hAnsiTheme="minorHAnsi" w:cstheme="minorHAnsi"/>
          <w:bCs/>
          <w:sz w:val="20"/>
          <w:szCs w:val="20"/>
        </w:rPr>
        <w:t>Telescopi</w:t>
      </w:r>
      <w:proofErr w:type="spellEnd"/>
      <w:r w:rsidRPr="00FA7DB7">
        <w:rPr>
          <w:rFonts w:asciiTheme="minorHAnsi" w:hAnsiTheme="minorHAnsi" w:cstheme="minorHAnsi"/>
          <w:bCs/>
          <w:sz w:val="20"/>
          <w:szCs w:val="20"/>
        </w:rPr>
        <w:t xml:space="preserve"> Cátedra UNESCO de Dirección Universitaria.</w:t>
      </w:r>
    </w:p>
    <w:p w14:paraId="7E96AA21" w14:textId="2A11C087" w:rsidR="005A3FCF" w:rsidRPr="00FA7DB7" w:rsidRDefault="005A3FCF" w:rsidP="005A3FCF">
      <w:pPr>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El funcionamiento del BAU se encuentra regulado por la normativa aprobada por Acuerdo del Consejo de Gobierno de 19 de diciembre de 2016 (</w:t>
      </w:r>
      <w:hyperlink r:id="rId9" w:history="1">
        <w:r w:rsidR="00814C19" w:rsidRPr="00FA7DB7">
          <w:rPr>
            <w:rStyle w:val="Hipervnculo"/>
            <w:rFonts w:asciiTheme="minorHAnsi" w:hAnsiTheme="minorHAnsi" w:cstheme="minorHAnsi"/>
            <w:bCs/>
            <w:sz w:val="20"/>
            <w:szCs w:val="20"/>
          </w:rPr>
          <w:t>https://buzon.uca.es/cau/index.do</w:t>
        </w:r>
      </w:hyperlink>
      <w:r w:rsidRPr="00FA7DB7">
        <w:rPr>
          <w:rFonts w:asciiTheme="minorHAnsi" w:hAnsiTheme="minorHAnsi" w:cstheme="minorHAnsi"/>
          <w:bCs/>
          <w:sz w:val="20"/>
          <w:szCs w:val="20"/>
        </w:rPr>
        <w:t>).</w:t>
      </w:r>
      <w:r w:rsidR="00814C19" w:rsidRPr="00FA7DB7">
        <w:rPr>
          <w:rFonts w:asciiTheme="minorHAnsi" w:hAnsiTheme="minorHAnsi" w:cstheme="minorHAnsi"/>
          <w:bCs/>
          <w:sz w:val="20"/>
          <w:szCs w:val="20"/>
        </w:rPr>
        <w:t xml:space="preserve"> </w:t>
      </w:r>
    </w:p>
    <w:p w14:paraId="7509A8CC" w14:textId="2D9B53F9" w:rsidR="005A3FCF" w:rsidRPr="00FA7DB7" w:rsidRDefault="00814C19" w:rsidP="005A3FCF">
      <w:pPr>
        <w:spacing w:after="120" w:line="240" w:lineRule="auto"/>
        <w:jc w:val="both"/>
        <w:rPr>
          <w:rFonts w:asciiTheme="minorHAnsi" w:hAnsiTheme="minorHAnsi" w:cstheme="minorHAnsi"/>
          <w:bCs/>
          <w:color w:val="FF0000"/>
          <w:sz w:val="20"/>
          <w:szCs w:val="20"/>
        </w:rPr>
      </w:pPr>
      <w:r w:rsidRPr="00FA7DB7">
        <w:rPr>
          <w:rFonts w:asciiTheme="minorHAnsi" w:hAnsiTheme="minorHAnsi" w:cstheme="minorHAnsi"/>
          <w:bCs/>
          <w:color w:val="FF0000"/>
          <w:sz w:val="20"/>
          <w:szCs w:val="20"/>
        </w:rPr>
        <w:t>[Se p</w:t>
      </w:r>
      <w:r w:rsidR="005A3FCF" w:rsidRPr="00FA7DB7">
        <w:rPr>
          <w:rFonts w:asciiTheme="minorHAnsi" w:hAnsiTheme="minorHAnsi" w:cstheme="minorHAnsi"/>
          <w:bCs/>
          <w:color w:val="FF0000"/>
          <w:sz w:val="20"/>
          <w:szCs w:val="20"/>
        </w:rPr>
        <w:t>odrá ampliar el texto con más información releva</w:t>
      </w:r>
      <w:r w:rsidR="00A612A7" w:rsidRPr="00FA7DB7">
        <w:rPr>
          <w:rFonts w:asciiTheme="minorHAnsi" w:hAnsiTheme="minorHAnsi" w:cstheme="minorHAnsi"/>
          <w:bCs/>
          <w:color w:val="FF0000"/>
          <w:sz w:val="20"/>
          <w:szCs w:val="20"/>
        </w:rPr>
        <w:t>nte</w:t>
      </w:r>
      <w:r w:rsidRPr="00FA7DB7">
        <w:rPr>
          <w:rFonts w:asciiTheme="minorHAnsi" w:hAnsiTheme="minorHAnsi" w:cstheme="minorHAnsi"/>
          <w:bCs/>
          <w:color w:val="FF0000"/>
          <w:sz w:val="20"/>
          <w:szCs w:val="20"/>
        </w:rPr>
        <w:t xml:space="preserve">, </w:t>
      </w:r>
      <w:r w:rsidR="00A612A7" w:rsidRPr="00FA7DB7">
        <w:rPr>
          <w:rFonts w:asciiTheme="minorHAnsi" w:hAnsiTheme="minorHAnsi" w:cstheme="minorHAnsi"/>
          <w:bCs/>
          <w:color w:val="FF0000"/>
          <w:sz w:val="20"/>
          <w:szCs w:val="20"/>
        </w:rPr>
        <w:t xml:space="preserve">como </w:t>
      </w:r>
      <w:r w:rsidRPr="00FA7DB7">
        <w:rPr>
          <w:rFonts w:asciiTheme="minorHAnsi" w:hAnsiTheme="minorHAnsi" w:cstheme="minorHAnsi"/>
          <w:bCs/>
          <w:color w:val="FF0000"/>
          <w:sz w:val="20"/>
          <w:szCs w:val="20"/>
        </w:rPr>
        <w:t>f</w:t>
      </w:r>
      <w:r w:rsidR="00A612A7" w:rsidRPr="00FA7DB7">
        <w:rPr>
          <w:rFonts w:asciiTheme="minorHAnsi" w:hAnsiTheme="minorHAnsi" w:cstheme="minorHAnsi"/>
          <w:bCs/>
          <w:color w:val="FF0000"/>
          <w:sz w:val="20"/>
          <w:szCs w:val="20"/>
        </w:rPr>
        <w:t xml:space="preserve">elicitaciones, </w:t>
      </w:r>
      <w:r w:rsidR="005A3FCF" w:rsidRPr="00FA7DB7">
        <w:rPr>
          <w:rFonts w:asciiTheme="minorHAnsi" w:hAnsiTheme="minorHAnsi" w:cstheme="minorHAnsi"/>
          <w:bCs/>
          <w:color w:val="FF0000"/>
          <w:sz w:val="20"/>
          <w:szCs w:val="20"/>
        </w:rPr>
        <w:t>etc.</w:t>
      </w:r>
      <w:r w:rsidRPr="00FA7DB7">
        <w:rPr>
          <w:rFonts w:asciiTheme="minorHAnsi" w:hAnsiTheme="minorHAnsi" w:cstheme="minorHAnsi"/>
          <w:bCs/>
          <w:color w:val="FF0000"/>
          <w:sz w:val="20"/>
          <w:szCs w:val="20"/>
        </w:rPr>
        <w:t>]</w:t>
      </w:r>
    </w:p>
    <w:p w14:paraId="503E34E9" w14:textId="77777777" w:rsidR="005A3FCF" w:rsidRPr="00FA7DB7" w:rsidRDefault="005A3FCF" w:rsidP="005A3FCF">
      <w:pPr>
        <w:autoSpaceDE w:val="0"/>
        <w:autoSpaceDN w:val="0"/>
        <w:adjustRightInd w:val="0"/>
        <w:spacing w:after="120" w:line="240" w:lineRule="auto"/>
        <w:jc w:val="both"/>
        <w:rPr>
          <w:rFonts w:asciiTheme="minorHAnsi" w:hAnsiTheme="minorHAnsi" w:cstheme="minorHAnsi"/>
          <w:b/>
          <w:bCs/>
          <w:i/>
          <w:sz w:val="20"/>
          <w:szCs w:val="20"/>
        </w:rPr>
      </w:pPr>
      <w:r w:rsidRPr="00FA7DB7">
        <w:rPr>
          <w:rFonts w:asciiTheme="minorHAnsi" w:hAnsiTheme="minorHAnsi" w:cstheme="minorHAnsi"/>
          <w:b/>
          <w:bCs/>
          <w:i/>
          <w:sz w:val="20"/>
          <w:szCs w:val="20"/>
        </w:rPr>
        <w:t>e) Centro de Atención al Usuario (CAU).</w:t>
      </w:r>
    </w:p>
    <w:p w14:paraId="7D80B37F" w14:textId="54886923" w:rsidR="005A3FCF" w:rsidRPr="00FA7DB7" w:rsidRDefault="005A3FCF" w:rsidP="005A3FCF">
      <w:pPr>
        <w:autoSpaceDE w:val="0"/>
        <w:autoSpaceDN w:val="0"/>
        <w:adjustRightInd w:val="0"/>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 xml:space="preserve">Para garantizar la totalidad de servicios y recursos materiales necesarios para el normal funcionamiento de los títulos, la Universidad de Cádiz dispone del Centro de Atención al Usuario (CAU), disponible en </w:t>
      </w:r>
      <w:hyperlink r:id="rId10" w:history="1">
        <w:r w:rsidRPr="00FA7DB7">
          <w:rPr>
            <w:rStyle w:val="Hipervnculo"/>
            <w:rFonts w:asciiTheme="minorHAnsi" w:hAnsiTheme="minorHAnsi" w:cstheme="minorHAnsi"/>
            <w:bCs/>
            <w:sz w:val="20"/>
            <w:szCs w:val="20"/>
          </w:rPr>
          <w:t>https://cau.uca.es/cau/indiceGlobal.do</w:t>
        </w:r>
      </w:hyperlink>
      <w:r w:rsidRPr="00FA7DB7">
        <w:rPr>
          <w:rFonts w:asciiTheme="minorHAnsi" w:hAnsiTheme="minorHAnsi" w:cstheme="minorHAnsi"/>
          <w:bCs/>
          <w:sz w:val="20"/>
          <w:szCs w:val="20"/>
        </w:rPr>
        <w:t xml:space="preserve">. El CAU es el instrumento electrónico disponible para realizar las solicitudes de </w:t>
      </w:r>
      <w:r w:rsidRPr="00FA7DB7">
        <w:rPr>
          <w:rFonts w:asciiTheme="minorHAnsi" w:hAnsiTheme="minorHAnsi" w:cstheme="minorHAnsi"/>
          <w:bCs/>
          <w:sz w:val="20"/>
          <w:szCs w:val="20"/>
        </w:rPr>
        <w:lastRenderedPageBreak/>
        <w:t>servicios y recursos de manera estructurada y sistemática y dispone de una relación detallada de los servicios ofertados organizados en función de las áreas responsables.</w:t>
      </w:r>
    </w:p>
    <w:p w14:paraId="4D72FBB5" w14:textId="77777777" w:rsidR="005A3FCF" w:rsidRPr="00FA7DB7" w:rsidRDefault="005A3FCF" w:rsidP="005A3FCF">
      <w:pPr>
        <w:autoSpaceDE w:val="0"/>
        <w:autoSpaceDN w:val="0"/>
        <w:adjustRightInd w:val="0"/>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El CAU constituye así la ventanilla principal de los servicios de la UCA mediante la que se agiliza la tramitación de peticiones administrativas y de servicios, facilitando con ello al usuario (cualquier miembro de la comunidad universitaria) un sistema único para su resolución y seguimiento.</w:t>
      </w:r>
    </w:p>
    <w:p w14:paraId="4F2F303C" w14:textId="5A74EE95" w:rsidR="005A3FCF" w:rsidRPr="00FA7DB7" w:rsidRDefault="005A3FCF" w:rsidP="005A3FCF">
      <w:pPr>
        <w:autoSpaceDE w:val="0"/>
        <w:autoSpaceDN w:val="0"/>
        <w:adjustRightInd w:val="0"/>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Los servicios y recursos relacionados con el funcionamiento del título que prestan sus servicios a través del CAU son: Or</w:t>
      </w:r>
      <w:r w:rsidR="001F334E" w:rsidRPr="00FA7DB7">
        <w:rPr>
          <w:rFonts w:asciiTheme="minorHAnsi" w:hAnsiTheme="minorHAnsi" w:cstheme="minorHAnsi"/>
          <w:bCs/>
          <w:sz w:val="20"/>
          <w:szCs w:val="20"/>
        </w:rPr>
        <w:t>ganización</w:t>
      </w:r>
      <w:r w:rsidRPr="00FA7DB7">
        <w:rPr>
          <w:rFonts w:asciiTheme="minorHAnsi" w:hAnsiTheme="minorHAnsi" w:cstheme="minorHAnsi"/>
          <w:bCs/>
          <w:sz w:val="20"/>
          <w:szCs w:val="20"/>
        </w:rPr>
        <w:t xml:space="preserve"> Académica y P</w:t>
      </w:r>
      <w:r w:rsidR="001F334E" w:rsidRPr="00FA7DB7">
        <w:rPr>
          <w:rFonts w:asciiTheme="minorHAnsi" w:hAnsiTheme="minorHAnsi" w:cstheme="minorHAnsi"/>
          <w:bCs/>
          <w:sz w:val="20"/>
          <w:szCs w:val="20"/>
        </w:rPr>
        <w:t>lanificación Plantillas PDI</w:t>
      </w:r>
      <w:r w:rsidRPr="00FA7DB7">
        <w:rPr>
          <w:rFonts w:asciiTheme="minorHAnsi" w:hAnsiTheme="minorHAnsi" w:cstheme="minorHAnsi"/>
          <w:bCs/>
          <w:sz w:val="20"/>
          <w:szCs w:val="20"/>
        </w:rPr>
        <w:t>, Gestión de la Calidad, Administraciones y Secretarías de Campus, Atención al Alumnado, Servicio de Atención Psicológica y Psicopedagógica, Biblioteca y Archivo, Informática, Infraestructuras y Personal.</w:t>
      </w:r>
    </w:p>
    <w:p w14:paraId="605A53B3" w14:textId="77777777" w:rsidR="005A3FCF" w:rsidRPr="00FA7DB7" w:rsidRDefault="005A3FCF" w:rsidP="005A3FCF">
      <w:pPr>
        <w:autoSpaceDE w:val="0"/>
        <w:autoSpaceDN w:val="0"/>
        <w:adjustRightInd w:val="0"/>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En el año 2014, la Cátedra Unesco de Dirección Universitaria en su segunda edición de los premios TELESCOPI otorgó el PREMIO A LA MEJOR BUENA PRÁCTICA DEL CRITERIO CLIENTES, al “Centro de Atención al Usuario de la UCA" (CAU).</w:t>
      </w:r>
    </w:p>
    <w:p w14:paraId="0449D512" w14:textId="77777777" w:rsidR="005A3FCF" w:rsidRPr="00FA7DB7" w:rsidRDefault="005A3FCF" w:rsidP="005A3FCF">
      <w:pPr>
        <w:autoSpaceDE w:val="0"/>
        <w:autoSpaceDN w:val="0"/>
        <w:adjustRightInd w:val="0"/>
        <w:spacing w:after="120" w:line="240" w:lineRule="auto"/>
        <w:jc w:val="both"/>
        <w:rPr>
          <w:rFonts w:asciiTheme="minorHAnsi" w:hAnsiTheme="minorHAnsi" w:cstheme="minorHAnsi"/>
          <w:b/>
          <w:bCs/>
          <w:i/>
          <w:sz w:val="20"/>
          <w:szCs w:val="20"/>
        </w:rPr>
      </w:pPr>
      <w:r w:rsidRPr="00FA7DB7">
        <w:rPr>
          <w:rFonts w:asciiTheme="minorHAnsi" w:hAnsiTheme="minorHAnsi" w:cstheme="minorHAnsi"/>
          <w:b/>
          <w:bCs/>
          <w:i/>
          <w:sz w:val="20"/>
          <w:szCs w:val="20"/>
        </w:rPr>
        <w:t>f) Sistema Informático de Reserva de Recursos (SIRE).</w:t>
      </w:r>
    </w:p>
    <w:p w14:paraId="1F7FBB41" w14:textId="6C3F4A95" w:rsidR="005A3FCF" w:rsidRPr="00FA7DB7" w:rsidRDefault="005A3FCF" w:rsidP="005A3FCF">
      <w:pPr>
        <w:autoSpaceDE w:val="0"/>
        <w:autoSpaceDN w:val="0"/>
        <w:adjustRightInd w:val="0"/>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La reserva de recursos docentes se gestiona a través de la plataforma informática SIRE (</w:t>
      </w:r>
      <w:hyperlink r:id="rId11" w:history="1">
        <w:r w:rsidR="00814C19" w:rsidRPr="00FA7DB7">
          <w:rPr>
            <w:rStyle w:val="Hipervnculo"/>
            <w:rFonts w:asciiTheme="minorHAnsi" w:hAnsiTheme="minorHAnsi" w:cstheme="minorHAnsi"/>
            <w:bCs/>
            <w:sz w:val="20"/>
            <w:szCs w:val="20"/>
          </w:rPr>
          <w:t>https://sire.uca.es</w:t>
        </w:r>
      </w:hyperlink>
      <w:r w:rsidRPr="00FA7DB7">
        <w:rPr>
          <w:rFonts w:asciiTheme="minorHAnsi" w:hAnsiTheme="minorHAnsi" w:cstheme="minorHAnsi"/>
          <w:bCs/>
          <w:sz w:val="20"/>
          <w:szCs w:val="20"/>
        </w:rPr>
        <w:t xml:space="preserve">). En ella constan todos los espacios disponibles, con indicación de su ocupación y con la posibilidad de solicitar la reserva de espacios que luego, es confirmada por el responsable de la plataforma SIRE en el </w:t>
      </w:r>
      <w:r w:rsidR="00814C19" w:rsidRPr="00FA7DB7">
        <w:rPr>
          <w:rFonts w:asciiTheme="minorHAnsi" w:hAnsiTheme="minorHAnsi" w:cstheme="minorHAnsi"/>
          <w:bCs/>
          <w:sz w:val="20"/>
          <w:szCs w:val="20"/>
        </w:rPr>
        <w:t>c</w:t>
      </w:r>
      <w:r w:rsidRPr="00FA7DB7">
        <w:rPr>
          <w:rFonts w:asciiTheme="minorHAnsi" w:hAnsiTheme="minorHAnsi" w:cstheme="minorHAnsi"/>
          <w:bCs/>
          <w:sz w:val="20"/>
          <w:szCs w:val="20"/>
        </w:rPr>
        <w:t>entro. Igualmente, la reserva de espacios de trabajo puede realizarse a través de la web de Biblioteca, en la dirección anteriormente mencionada.</w:t>
      </w:r>
    </w:p>
    <w:p w14:paraId="59ABF1FA" w14:textId="2A49A416" w:rsidR="005A3FCF" w:rsidRPr="00FA7DB7" w:rsidRDefault="00FD2DDD" w:rsidP="005A3FCF">
      <w:pPr>
        <w:autoSpaceDE w:val="0"/>
        <w:autoSpaceDN w:val="0"/>
        <w:adjustRightInd w:val="0"/>
        <w:spacing w:after="120" w:line="240" w:lineRule="auto"/>
        <w:jc w:val="both"/>
        <w:rPr>
          <w:rFonts w:asciiTheme="minorHAnsi" w:hAnsiTheme="minorHAnsi" w:cstheme="minorHAnsi"/>
          <w:b/>
          <w:bCs/>
          <w:i/>
          <w:sz w:val="20"/>
          <w:szCs w:val="20"/>
        </w:rPr>
      </w:pPr>
      <w:r w:rsidRPr="00FA7DB7">
        <w:rPr>
          <w:rFonts w:asciiTheme="minorHAnsi" w:hAnsiTheme="minorHAnsi" w:cstheme="minorHAnsi"/>
          <w:b/>
          <w:bCs/>
          <w:i/>
          <w:sz w:val="20"/>
          <w:szCs w:val="20"/>
        </w:rPr>
        <w:t>g</w:t>
      </w:r>
      <w:r w:rsidR="005A3FCF" w:rsidRPr="00FA7DB7">
        <w:rPr>
          <w:rFonts w:asciiTheme="minorHAnsi" w:hAnsiTheme="minorHAnsi" w:cstheme="minorHAnsi"/>
          <w:b/>
          <w:bCs/>
          <w:i/>
          <w:sz w:val="20"/>
          <w:szCs w:val="20"/>
        </w:rPr>
        <w:t>)  Otros.</w:t>
      </w:r>
    </w:p>
    <w:p w14:paraId="346EEA8C" w14:textId="52C1CF8D" w:rsidR="005A3FCF" w:rsidRPr="00FA7DB7" w:rsidRDefault="005A3FCF" w:rsidP="005A3FCF">
      <w:pPr>
        <w:autoSpaceDE w:val="0"/>
        <w:autoSpaceDN w:val="0"/>
        <w:adjustRightInd w:val="0"/>
        <w:spacing w:after="120" w:line="240" w:lineRule="auto"/>
        <w:jc w:val="both"/>
        <w:rPr>
          <w:rFonts w:asciiTheme="minorHAnsi" w:hAnsiTheme="minorHAnsi" w:cstheme="minorHAnsi"/>
          <w:bCs/>
          <w:sz w:val="20"/>
          <w:szCs w:val="20"/>
        </w:rPr>
      </w:pPr>
      <w:r w:rsidRPr="00FA7DB7">
        <w:rPr>
          <w:rFonts w:asciiTheme="minorHAnsi" w:hAnsiTheme="minorHAnsi" w:cstheme="minorHAnsi"/>
          <w:bCs/>
          <w:sz w:val="20"/>
          <w:szCs w:val="20"/>
        </w:rPr>
        <w:t xml:space="preserve">Finalmente, la </w:t>
      </w:r>
      <w:r w:rsidRPr="00FA7DB7">
        <w:rPr>
          <w:rFonts w:asciiTheme="minorHAnsi" w:hAnsiTheme="minorHAnsi" w:cstheme="minorHAnsi"/>
          <w:b/>
          <w:bCs/>
          <w:color w:val="FF0000"/>
          <w:sz w:val="20"/>
          <w:szCs w:val="20"/>
        </w:rPr>
        <w:t>Facultad</w:t>
      </w:r>
      <w:r w:rsidR="00BB09D2" w:rsidRPr="00FA7DB7">
        <w:rPr>
          <w:rFonts w:asciiTheme="minorHAnsi" w:hAnsiTheme="minorHAnsi" w:cstheme="minorHAnsi"/>
          <w:b/>
          <w:bCs/>
          <w:color w:val="FF0000"/>
          <w:sz w:val="20"/>
          <w:szCs w:val="20"/>
        </w:rPr>
        <w:t xml:space="preserve"> / Escuela</w:t>
      </w:r>
      <w:r w:rsidRPr="00FA7DB7">
        <w:rPr>
          <w:rFonts w:asciiTheme="minorHAnsi" w:hAnsiTheme="minorHAnsi" w:cstheme="minorHAnsi"/>
          <w:b/>
          <w:bCs/>
          <w:color w:val="FF0000"/>
          <w:sz w:val="20"/>
          <w:szCs w:val="20"/>
        </w:rPr>
        <w:t xml:space="preserve"> </w:t>
      </w:r>
      <w:r w:rsidR="00DA5B90" w:rsidRPr="00FA7DB7">
        <w:rPr>
          <w:rFonts w:asciiTheme="minorHAnsi" w:hAnsiTheme="minorHAnsi" w:cstheme="minorHAnsi"/>
          <w:b/>
          <w:bCs/>
          <w:color w:val="FF0000"/>
          <w:sz w:val="20"/>
          <w:szCs w:val="20"/>
        </w:rPr>
        <w:t xml:space="preserve">de </w:t>
      </w:r>
      <w:proofErr w:type="spellStart"/>
      <w:r w:rsidR="00BB09D2" w:rsidRPr="00FA7DB7">
        <w:rPr>
          <w:rFonts w:asciiTheme="minorHAnsi" w:hAnsiTheme="minorHAnsi" w:cstheme="minorHAnsi"/>
          <w:b/>
          <w:bCs/>
          <w:color w:val="FF0000"/>
          <w:sz w:val="20"/>
          <w:szCs w:val="20"/>
        </w:rPr>
        <w:t>xxxxxx</w:t>
      </w:r>
      <w:proofErr w:type="spellEnd"/>
      <w:r w:rsidRPr="00FA7DB7">
        <w:rPr>
          <w:rFonts w:asciiTheme="minorHAnsi" w:hAnsiTheme="minorHAnsi" w:cstheme="minorHAnsi"/>
          <w:bCs/>
          <w:sz w:val="20"/>
          <w:szCs w:val="20"/>
        </w:rPr>
        <w:t xml:space="preserve"> cuenta además con otros recursos y servicios como son: </w:t>
      </w:r>
      <w:r w:rsidRPr="00FA7DB7">
        <w:rPr>
          <w:rFonts w:asciiTheme="minorHAnsi" w:hAnsiTheme="minorHAnsi" w:cstheme="minorHAnsi"/>
          <w:bCs/>
          <w:color w:val="FF0000"/>
          <w:sz w:val="20"/>
          <w:szCs w:val="20"/>
        </w:rPr>
        <w:t xml:space="preserve">Delegación de </w:t>
      </w:r>
      <w:r w:rsidR="00814C19" w:rsidRPr="00FA7DB7">
        <w:rPr>
          <w:rFonts w:asciiTheme="minorHAnsi" w:hAnsiTheme="minorHAnsi" w:cstheme="minorHAnsi"/>
          <w:bCs/>
          <w:color w:val="FF0000"/>
          <w:sz w:val="20"/>
          <w:szCs w:val="20"/>
        </w:rPr>
        <w:t>A</w:t>
      </w:r>
      <w:r w:rsidRPr="00FA7DB7">
        <w:rPr>
          <w:rFonts w:asciiTheme="minorHAnsi" w:hAnsiTheme="minorHAnsi" w:cstheme="minorHAnsi"/>
          <w:bCs/>
          <w:color w:val="FF0000"/>
          <w:sz w:val="20"/>
          <w:szCs w:val="20"/>
        </w:rPr>
        <w:t xml:space="preserve">lumnos, </w:t>
      </w:r>
      <w:r w:rsidR="00814C19" w:rsidRPr="00FA7DB7">
        <w:rPr>
          <w:rFonts w:asciiTheme="minorHAnsi" w:hAnsiTheme="minorHAnsi" w:cstheme="minorHAnsi"/>
          <w:bCs/>
          <w:color w:val="FF0000"/>
          <w:sz w:val="20"/>
          <w:szCs w:val="20"/>
        </w:rPr>
        <w:t>s</w:t>
      </w:r>
      <w:r w:rsidRPr="00FA7DB7">
        <w:rPr>
          <w:rFonts w:asciiTheme="minorHAnsi" w:hAnsiTheme="minorHAnsi" w:cstheme="minorHAnsi"/>
          <w:bCs/>
          <w:color w:val="FF0000"/>
          <w:sz w:val="20"/>
          <w:szCs w:val="20"/>
        </w:rPr>
        <w:t xml:space="preserve">ervicio de copistería y </w:t>
      </w:r>
      <w:r w:rsidR="00814C19" w:rsidRPr="00FA7DB7">
        <w:rPr>
          <w:rFonts w:asciiTheme="minorHAnsi" w:hAnsiTheme="minorHAnsi" w:cstheme="minorHAnsi"/>
          <w:bCs/>
          <w:color w:val="FF0000"/>
          <w:sz w:val="20"/>
          <w:szCs w:val="20"/>
        </w:rPr>
        <w:t>s</w:t>
      </w:r>
      <w:r w:rsidRPr="00FA7DB7">
        <w:rPr>
          <w:rFonts w:asciiTheme="minorHAnsi" w:hAnsiTheme="minorHAnsi" w:cstheme="minorHAnsi"/>
          <w:bCs/>
          <w:color w:val="FF0000"/>
          <w:sz w:val="20"/>
          <w:szCs w:val="20"/>
        </w:rPr>
        <w:t>ervicio de cafetería/comedor</w:t>
      </w:r>
      <w:r w:rsidRPr="00FA7DB7">
        <w:rPr>
          <w:rFonts w:asciiTheme="minorHAnsi" w:hAnsiTheme="minorHAnsi" w:cstheme="minorHAnsi"/>
          <w:bCs/>
          <w:sz w:val="20"/>
          <w:szCs w:val="20"/>
        </w:rPr>
        <w:t xml:space="preserve">. </w:t>
      </w:r>
    </w:p>
    <w:p w14:paraId="1FEC80C3" w14:textId="628C31C9" w:rsidR="005A3FCF" w:rsidRPr="00FA7DB7" w:rsidRDefault="00FD2DDD" w:rsidP="005A3FCF">
      <w:pPr>
        <w:spacing w:after="120" w:line="240" w:lineRule="auto"/>
        <w:jc w:val="both"/>
        <w:rPr>
          <w:rFonts w:asciiTheme="minorHAnsi" w:hAnsiTheme="minorHAnsi" w:cstheme="minorHAnsi"/>
          <w:bCs/>
          <w:i/>
          <w:color w:val="FF0000"/>
          <w:sz w:val="20"/>
          <w:szCs w:val="20"/>
        </w:rPr>
      </w:pPr>
      <w:r w:rsidRPr="00FA7DB7">
        <w:rPr>
          <w:rFonts w:asciiTheme="minorHAnsi" w:hAnsiTheme="minorHAnsi" w:cstheme="minorHAnsi"/>
          <w:bCs/>
          <w:i/>
          <w:color w:val="FF0000"/>
          <w:sz w:val="20"/>
          <w:szCs w:val="20"/>
        </w:rPr>
        <w:t>[</w:t>
      </w:r>
      <w:r w:rsidR="00814C19" w:rsidRPr="00FA7DB7">
        <w:rPr>
          <w:rFonts w:asciiTheme="minorHAnsi" w:hAnsiTheme="minorHAnsi" w:cstheme="minorHAnsi"/>
          <w:bCs/>
          <w:i/>
          <w:color w:val="FF0000"/>
          <w:sz w:val="20"/>
          <w:szCs w:val="20"/>
        </w:rPr>
        <w:t>Se p</w:t>
      </w:r>
      <w:r w:rsidR="005A3FCF" w:rsidRPr="00FA7DB7">
        <w:rPr>
          <w:rFonts w:asciiTheme="minorHAnsi" w:hAnsiTheme="minorHAnsi" w:cstheme="minorHAnsi"/>
          <w:bCs/>
          <w:i/>
          <w:color w:val="FF0000"/>
          <w:sz w:val="20"/>
          <w:szCs w:val="20"/>
        </w:rPr>
        <w:t>odrá ampliar el texto con más información relevante</w:t>
      </w:r>
      <w:r w:rsidRPr="00FA7DB7">
        <w:rPr>
          <w:rFonts w:asciiTheme="minorHAnsi" w:hAnsiTheme="minorHAnsi" w:cstheme="minorHAnsi"/>
          <w:bCs/>
          <w:i/>
          <w:color w:val="FF0000"/>
          <w:sz w:val="20"/>
          <w:szCs w:val="20"/>
        </w:rPr>
        <w:t>].</w:t>
      </w:r>
    </w:p>
    <w:p w14:paraId="2A75E8F8" w14:textId="77777777" w:rsidR="000D0108" w:rsidRPr="00FA7DB7" w:rsidRDefault="000D0108" w:rsidP="000D0108">
      <w:pPr>
        <w:pStyle w:val="Default"/>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[Se debe valorar si:</w:t>
      </w:r>
    </w:p>
    <w:p w14:paraId="087729D8" w14:textId="77777777" w:rsidR="000D0108" w:rsidRPr="00FA7DB7" w:rsidRDefault="000D0108" w:rsidP="000D0108">
      <w:pPr>
        <w:pStyle w:val="Default"/>
        <w:rPr>
          <w:rFonts w:asciiTheme="minorHAnsi" w:hAnsiTheme="minorHAnsi" w:cstheme="minorHAnsi"/>
          <w:i/>
          <w:color w:val="FF0000"/>
          <w:sz w:val="20"/>
          <w:szCs w:val="20"/>
        </w:rPr>
      </w:pPr>
    </w:p>
    <w:p w14:paraId="5E8CFC56"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aulas adecuadas y convenientemente equipadas (número, tamaño, mesas y sillas, proyectores, pantallas, enchufes, acondicionamiento…medios técnicos) para el desarrollo de las actividades formativas, teniendo en cuenta el tamaño de los grupos y las metodologías de enseñanza-aprendizaje empleadas.</w:t>
      </w:r>
    </w:p>
    <w:p w14:paraId="61B96A46"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salas de lectura, espacios para realización de trabajos en grupo, áreas de descanso, etc.  adecuadas al número de estudiantes.</w:t>
      </w:r>
    </w:p>
    <w:p w14:paraId="212EE303"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los laboratorios o espacios específicos para la realización de las prácticas adecuados (número, tamaño, instrumentación) y/o de los medios necesarios para el desarrollo de todas las actividades formativas previstas (laboratorios de idiomas, aulas de informática, prácticas de campo, etc.).</w:t>
      </w:r>
    </w:p>
    <w:p w14:paraId="1EC7ACEE"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cuenta con la dotación económica necesaria para la realización de las prácticas y del resto de actividades formativas previstas.</w:t>
      </w:r>
    </w:p>
    <w:p w14:paraId="6D41DAD5"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 xml:space="preserve">El título cuenta con una biblioteca adecuada al número de estudiantes y las características del programa formativo (número de puestos, fondos disponibles, sistema de acceso a los fondos bibliográficos, bases de datos, suscripciones a revistas de uso, suscripciones a </w:t>
      </w:r>
      <w:proofErr w:type="spellStart"/>
      <w:r w:rsidRPr="00FA7DB7">
        <w:rPr>
          <w:rFonts w:asciiTheme="minorHAnsi" w:hAnsiTheme="minorHAnsi" w:cstheme="minorHAnsi"/>
          <w:i/>
          <w:color w:val="00B0F0"/>
          <w:sz w:val="20"/>
          <w:szCs w:val="20"/>
        </w:rPr>
        <w:t>ebooks</w:t>
      </w:r>
      <w:proofErr w:type="spellEnd"/>
      <w:r w:rsidRPr="00FA7DB7">
        <w:rPr>
          <w:rFonts w:asciiTheme="minorHAnsi" w:hAnsiTheme="minorHAnsi" w:cstheme="minorHAnsi"/>
          <w:i/>
          <w:color w:val="00B0F0"/>
          <w:sz w:val="20"/>
          <w:szCs w:val="20"/>
        </w:rPr>
        <w:t xml:space="preserve"> docentes…).</w:t>
      </w:r>
    </w:p>
    <w:p w14:paraId="12751C50"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una plataforma virtual de apoyo a la docencia. Existe un procedimiento para analizar el uso de la plataforma virtual por parte del profesorado y del estudiantado.</w:t>
      </w:r>
    </w:p>
    <w:p w14:paraId="31CBD126"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indicadores válidos para conocer la satisfacción del estudiantado con las infraestructuras, medios y recursos disponibles para el título. En el caso de que se utilicen encuestas de satisfacción, el número de respuestas obtenido es suficiente para que los resultados sean estadísticamente significativos.</w:t>
      </w:r>
    </w:p>
    <w:p w14:paraId="73237F76"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Los indicadores de satisfacción son analizados por los responsables y utilizados en el proceso de mejora de la titulación.</w:t>
      </w:r>
    </w:p>
    <w:p w14:paraId="33DDB7D8"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indicadores válidos para conocer la satisfacción del profesorado con las infraestructuras, medios y recursos disponibles para el título. En el caso de que se utilicen encuestas de satisfacción, el número de respuestas obtenido es suficiente para que los resultados sean estadísticamente significativos.</w:t>
      </w:r>
    </w:p>
    <w:p w14:paraId="5BE2BB8C"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Los indicadores de satisfacción son analizados por los responsables y utilizados en el proceso de mejora de la titulación].</w:t>
      </w:r>
    </w:p>
    <w:p w14:paraId="206755EE" w14:textId="435C8142" w:rsidR="0037518F" w:rsidRPr="00FA7DB7" w:rsidRDefault="0037518F" w:rsidP="0037518F">
      <w:pPr>
        <w:autoSpaceDE w:val="0"/>
        <w:autoSpaceDN w:val="0"/>
        <w:adjustRightInd w:val="0"/>
        <w:spacing w:after="0"/>
        <w:jc w:val="both"/>
        <w:rPr>
          <w:rFonts w:ascii="Calibri" w:hAnsi="Calibri" w:cs="Calibri"/>
        </w:rPr>
      </w:pPr>
    </w:p>
    <w:p w14:paraId="4C2AC08F" w14:textId="77777777" w:rsidR="00A612A7" w:rsidRPr="00FA7DB7" w:rsidRDefault="00A612A7" w:rsidP="00A612A7">
      <w:pPr>
        <w:pStyle w:val="AGAETexto"/>
        <w:spacing w:before="0" w:after="0" w:line="240" w:lineRule="auto"/>
        <w:rPr>
          <w:rFonts w:asciiTheme="minorHAnsi" w:hAnsiTheme="minorHAnsi" w:cstheme="minorHAnsi"/>
          <w:i/>
          <w:color w:val="00B0F0"/>
          <w:sz w:val="20"/>
          <w:szCs w:val="20"/>
          <w:u w:val="single"/>
        </w:rPr>
      </w:pPr>
      <w:r w:rsidRPr="00FA7DB7">
        <w:rPr>
          <w:rFonts w:asciiTheme="minorHAnsi" w:hAnsiTheme="minorHAnsi" w:cstheme="minorHAnsi"/>
          <w:i/>
          <w:color w:val="00B0F0"/>
          <w:sz w:val="20"/>
          <w:szCs w:val="20"/>
          <w:u w:val="single"/>
        </w:rPr>
        <w:t xml:space="preserve">Evidencias según guía ACCUA: </w:t>
      </w:r>
    </w:p>
    <w:p w14:paraId="54D92C61" w14:textId="77777777" w:rsidR="00A612A7" w:rsidRPr="00FA7DB7" w:rsidRDefault="00A612A7" w:rsidP="00A612A7">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Descripción de las infraestructuras disponibles para el desarrollo de las diferentes actividades formativas.</w:t>
      </w:r>
    </w:p>
    <w:p w14:paraId="2A885F14" w14:textId="77777777" w:rsidR="00A612A7" w:rsidRPr="00FA7DB7" w:rsidRDefault="00A612A7" w:rsidP="00A612A7">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Descripción de las características y funcionamiento de la biblioteca.</w:t>
      </w:r>
    </w:p>
    <w:p w14:paraId="4CB453F0" w14:textId="77777777" w:rsidR="00A612A7" w:rsidRPr="00FA7DB7" w:rsidRDefault="00A612A7" w:rsidP="00A612A7">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Acceso a la plataforma virtual y estadísticas de utilización.</w:t>
      </w:r>
    </w:p>
    <w:p w14:paraId="3D04F794" w14:textId="77777777" w:rsidR="00A612A7" w:rsidRPr="00FA7DB7" w:rsidRDefault="00A612A7" w:rsidP="00A612A7">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Indicadores de satisfacción del alumnado.</w:t>
      </w:r>
    </w:p>
    <w:p w14:paraId="029AB6FF" w14:textId="77777777" w:rsidR="00A612A7" w:rsidRPr="00FA7DB7" w:rsidRDefault="00A612A7" w:rsidP="00A612A7">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lastRenderedPageBreak/>
        <w:t xml:space="preserve">Análisis realizado de los indicadores de satisfacción y </w:t>
      </w:r>
      <w:r w:rsidRPr="00FA7DB7">
        <w:rPr>
          <w:rFonts w:asciiTheme="minorHAnsi" w:hAnsiTheme="minorHAnsi" w:cstheme="minorHAnsi"/>
          <w:b/>
          <w:i/>
          <w:color w:val="00B0F0"/>
          <w:sz w:val="20"/>
          <w:szCs w:val="20"/>
        </w:rPr>
        <w:t>acciones de mejora</w:t>
      </w:r>
      <w:r w:rsidRPr="00FA7DB7">
        <w:rPr>
          <w:rFonts w:asciiTheme="minorHAnsi" w:hAnsiTheme="minorHAnsi" w:cstheme="minorHAnsi"/>
          <w:i/>
          <w:color w:val="00B0F0"/>
          <w:sz w:val="20"/>
          <w:szCs w:val="20"/>
        </w:rPr>
        <w:t xml:space="preserve"> puestas en marcha</w:t>
      </w:r>
    </w:p>
    <w:p w14:paraId="046AFA08" w14:textId="77777777" w:rsidR="00A612A7" w:rsidRPr="00FA7DB7" w:rsidRDefault="00A612A7" w:rsidP="00A612A7">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Indicadores de satisfacción del profesorado.</w:t>
      </w:r>
    </w:p>
    <w:p w14:paraId="1706AA87" w14:textId="4088690C" w:rsidR="00A612A7" w:rsidRPr="00FA7DB7" w:rsidRDefault="00A612A7" w:rsidP="00A612A7">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 xml:space="preserve">Análisis realizado de los indicadores de satisfacción y </w:t>
      </w:r>
      <w:r w:rsidRPr="00FA7DB7">
        <w:rPr>
          <w:rFonts w:asciiTheme="minorHAnsi" w:hAnsiTheme="minorHAnsi" w:cstheme="minorHAnsi"/>
          <w:b/>
          <w:i/>
          <w:color w:val="00B0F0"/>
          <w:sz w:val="20"/>
          <w:szCs w:val="20"/>
        </w:rPr>
        <w:t>acciones de mejora</w:t>
      </w:r>
      <w:r w:rsidRPr="00FA7DB7">
        <w:rPr>
          <w:rFonts w:asciiTheme="minorHAnsi" w:hAnsiTheme="minorHAnsi" w:cstheme="minorHAnsi"/>
          <w:i/>
          <w:color w:val="00B0F0"/>
          <w:sz w:val="20"/>
          <w:szCs w:val="20"/>
        </w:rPr>
        <w:t xml:space="preserve"> puestas en marcha.</w:t>
      </w:r>
    </w:p>
    <w:p w14:paraId="4ED78B01" w14:textId="77777777" w:rsidR="00A612A7" w:rsidRPr="00FA7DB7" w:rsidRDefault="00A612A7" w:rsidP="0037518F">
      <w:pPr>
        <w:autoSpaceDE w:val="0"/>
        <w:autoSpaceDN w:val="0"/>
        <w:adjustRightInd w:val="0"/>
        <w:spacing w:after="0"/>
        <w:jc w:val="both"/>
        <w:rPr>
          <w:rFonts w:ascii="Calibri" w:hAnsi="Calibri" w:cs="Calibri"/>
        </w:rPr>
      </w:pPr>
    </w:p>
    <w:p w14:paraId="0380691D" w14:textId="13CEAB68" w:rsidR="00A612A7" w:rsidRPr="00FA7DB7" w:rsidRDefault="00A612A7" w:rsidP="00A612A7">
      <w:pPr>
        <w:spacing w:after="0" w:line="240" w:lineRule="auto"/>
        <w:jc w:val="both"/>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 xml:space="preserve">[Los indicadores disponibles para este </w:t>
      </w:r>
      <w:proofErr w:type="spellStart"/>
      <w:r w:rsidRPr="00FA7DB7">
        <w:rPr>
          <w:rFonts w:asciiTheme="minorHAnsi" w:hAnsiTheme="minorHAnsi" w:cstheme="minorHAnsi"/>
          <w:i/>
          <w:color w:val="FF0000"/>
          <w:sz w:val="20"/>
          <w:szCs w:val="20"/>
        </w:rPr>
        <w:t>subcriterio</w:t>
      </w:r>
      <w:proofErr w:type="spellEnd"/>
      <w:r w:rsidRPr="00FA7DB7">
        <w:rPr>
          <w:rFonts w:asciiTheme="minorHAnsi" w:hAnsiTheme="minorHAnsi" w:cstheme="minorHAnsi"/>
          <w:i/>
          <w:color w:val="FF0000"/>
          <w:sz w:val="20"/>
          <w:szCs w:val="20"/>
        </w:rPr>
        <w:t xml:space="preserve"> son </w:t>
      </w:r>
      <w:r w:rsidR="00814C19" w:rsidRPr="00FA7DB7">
        <w:rPr>
          <w:rFonts w:asciiTheme="minorHAnsi" w:hAnsiTheme="minorHAnsi" w:cstheme="minorHAnsi"/>
          <w:i/>
          <w:color w:val="FF0000"/>
          <w:sz w:val="20"/>
          <w:szCs w:val="20"/>
        </w:rPr>
        <w:t>ISGC-</w:t>
      </w:r>
      <w:r w:rsidRPr="00FA7DB7">
        <w:rPr>
          <w:rFonts w:asciiTheme="minorHAnsi" w:hAnsiTheme="minorHAnsi" w:cstheme="minorHAnsi"/>
          <w:i/>
          <w:color w:val="FF0000"/>
          <w:sz w:val="20"/>
          <w:szCs w:val="20"/>
        </w:rPr>
        <w:t>P0</w:t>
      </w:r>
      <w:r w:rsidR="00154C23" w:rsidRPr="00FA7DB7">
        <w:rPr>
          <w:rFonts w:asciiTheme="minorHAnsi" w:hAnsiTheme="minorHAnsi" w:cstheme="minorHAnsi"/>
          <w:i/>
          <w:color w:val="FF0000"/>
          <w:sz w:val="20"/>
          <w:szCs w:val="20"/>
        </w:rPr>
        <w:t>6</w:t>
      </w:r>
      <w:r w:rsidR="00814C19" w:rsidRPr="00FA7DB7">
        <w:rPr>
          <w:rFonts w:asciiTheme="minorHAnsi" w:hAnsiTheme="minorHAnsi" w:cstheme="minorHAnsi"/>
          <w:i/>
          <w:color w:val="FF0000"/>
          <w:sz w:val="20"/>
          <w:szCs w:val="20"/>
        </w:rPr>
        <w:t>-</w:t>
      </w:r>
      <w:r w:rsidRPr="00FA7DB7">
        <w:rPr>
          <w:rFonts w:asciiTheme="minorHAnsi" w:hAnsiTheme="minorHAnsi" w:cstheme="minorHAnsi"/>
          <w:i/>
          <w:color w:val="FF0000"/>
          <w:sz w:val="20"/>
          <w:szCs w:val="20"/>
        </w:rPr>
        <w:t>0</w:t>
      </w:r>
      <w:r w:rsidR="00154C23" w:rsidRPr="00FA7DB7">
        <w:rPr>
          <w:rFonts w:asciiTheme="minorHAnsi" w:hAnsiTheme="minorHAnsi" w:cstheme="minorHAnsi"/>
          <w:i/>
          <w:color w:val="FF0000"/>
          <w:sz w:val="20"/>
          <w:szCs w:val="20"/>
        </w:rPr>
        <w:t>3</w:t>
      </w:r>
      <w:r w:rsidR="001158FC" w:rsidRPr="00FA7DB7">
        <w:rPr>
          <w:rFonts w:asciiTheme="minorHAnsi" w:hAnsiTheme="minorHAnsi" w:cstheme="minorHAnsi"/>
          <w:i/>
          <w:color w:val="FF0000"/>
          <w:sz w:val="20"/>
          <w:szCs w:val="20"/>
        </w:rPr>
        <w:t xml:space="preserve"> y 04</w:t>
      </w:r>
      <w:r w:rsidRPr="00FA7DB7">
        <w:rPr>
          <w:rFonts w:asciiTheme="minorHAnsi" w:hAnsiTheme="minorHAnsi" w:cstheme="minorHAnsi"/>
          <w:i/>
          <w:color w:val="FF0000"/>
          <w:sz w:val="20"/>
          <w:szCs w:val="20"/>
        </w:rPr>
        <w:t>].</w:t>
      </w:r>
    </w:p>
    <w:p w14:paraId="6C0DD4EE" w14:textId="77777777" w:rsidR="007420C3" w:rsidRPr="00FA7DB7" w:rsidRDefault="007420C3" w:rsidP="007420C3">
      <w:pPr>
        <w:pStyle w:val="AGAETexto"/>
        <w:spacing w:before="0" w:after="0" w:line="240" w:lineRule="auto"/>
        <w:rPr>
          <w:rFonts w:asciiTheme="minorHAnsi" w:hAnsiTheme="minorHAnsi" w:cstheme="minorHAnsi"/>
          <w:i/>
          <w:color w:val="FF0000"/>
          <w:sz w:val="20"/>
          <w:szCs w:val="20"/>
          <w:shd w:val="clear" w:color="auto" w:fill="FFFFFF"/>
        </w:rPr>
      </w:pPr>
      <w:r w:rsidRPr="00FA7DB7">
        <w:rPr>
          <w:rFonts w:asciiTheme="minorHAnsi" w:hAnsiTheme="minorHAnsi" w:cstheme="minorHAnsi"/>
          <w:i/>
          <w:color w:val="FF0000"/>
          <w:sz w:val="20"/>
          <w:szCs w:val="20"/>
          <w:shd w:val="clear" w:color="auto" w:fill="FFFFFF"/>
        </w:rPr>
        <w:t>[Cuando se analicen indicadores se recomienda indicar que estos están además en el anexo 1]</w:t>
      </w:r>
    </w:p>
    <w:p w14:paraId="7DE153A1" w14:textId="77777777" w:rsidR="007420C3" w:rsidRPr="00FA7DB7" w:rsidRDefault="007420C3" w:rsidP="00A612A7">
      <w:pPr>
        <w:spacing w:after="0" w:line="240" w:lineRule="auto"/>
        <w:jc w:val="both"/>
        <w:rPr>
          <w:rFonts w:asciiTheme="minorHAnsi" w:hAnsiTheme="minorHAnsi" w:cstheme="minorHAnsi"/>
          <w:i/>
          <w:color w:val="FF0000"/>
          <w:sz w:val="20"/>
          <w:szCs w:val="20"/>
        </w:rPr>
      </w:pPr>
    </w:p>
    <w:p w14:paraId="636C740A" w14:textId="77777777" w:rsidR="00A612A7" w:rsidRPr="00FA7DB7" w:rsidRDefault="00A612A7" w:rsidP="0037518F">
      <w:pPr>
        <w:autoSpaceDE w:val="0"/>
        <w:autoSpaceDN w:val="0"/>
        <w:adjustRightInd w:val="0"/>
        <w:spacing w:after="0"/>
        <w:jc w:val="both"/>
        <w:rPr>
          <w:rFonts w:ascii="Calibri" w:hAnsi="Calibri" w:cs="Calibri"/>
        </w:rPr>
      </w:pPr>
    </w:p>
    <w:p w14:paraId="4F8A034D" w14:textId="4DDF3B89" w:rsidR="00C5328B" w:rsidRPr="00FA7DB7" w:rsidRDefault="0037518F"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r w:rsidRPr="00FA7DB7">
        <w:rPr>
          <w:rFonts w:ascii="Calibri" w:hAnsi="Calibri" w:cs="Calibri"/>
          <w:i/>
          <w:color w:val="FFFFFF" w:themeColor="background1"/>
          <w:u w:val="single"/>
          <w:shd w:val="clear" w:color="auto" w:fill="1F497D"/>
        </w:rPr>
        <w:t xml:space="preserve">Subcriterio </w:t>
      </w:r>
      <w:r w:rsidR="00C5328B" w:rsidRPr="00FA7DB7">
        <w:rPr>
          <w:rFonts w:ascii="Calibri" w:hAnsi="Calibri" w:cs="Calibri"/>
          <w:i/>
          <w:color w:val="FFFFFF" w:themeColor="background1"/>
          <w:u w:val="single"/>
          <w:shd w:val="clear" w:color="auto" w:fill="1F497D"/>
        </w:rPr>
        <w:t>5</w:t>
      </w:r>
      <w:r w:rsidRPr="00FA7DB7">
        <w:rPr>
          <w:rFonts w:ascii="Calibri" w:hAnsi="Calibri" w:cs="Calibri"/>
          <w:i/>
          <w:color w:val="FFFFFF" w:themeColor="background1"/>
          <w:u w:val="single"/>
          <w:shd w:val="clear" w:color="auto" w:fill="1F497D"/>
        </w:rPr>
        <w:t>.2</w:t>
      </w:r>
      <w:r w:rsidRPr="00FA7DB7">
        <w:rPr>
          <w:rFonts w:asciiTheme="minorHAnsi" w:hAnsiTheme="minorHAnsi" w:cstheme="minorHAnsi"/>
          <w:i/>
          <w:color w:val="FFFFFF" w:themeColor="background1"/>
        </w:rPr>
        <w:t xml:space="preserve">:  </w:t>
      </w:r>
      <w:r w:rsidR="00C5328B" w:rsidRPr="00FA7DB7">
        <w:rPr>
          <w:rFonts w:asciiTheme="minorHAnsi" w:hAnsiTheme="minorHAnsi" w:cstheme="minorHAnsi"/>
          <w:i/>
          <w:color w:val="FFFFFF" w:themeColor="background1"/>
        </w:rPr>
        <w:t>En su caso, las acciones realizadas para favorecer la movilidad del estudiantado son adecuadas a las características del programa formativo. El alumnado está satisfecho con los programas de movilidad. Los coordinadores de movilidad están satisfechos con los programas de movilidad</w:t>
      </w:r>
    </w:p>
    <w:p w14:paraId="7FB52BA9" w14:textId="77777777" w:rsidR="00B90BCA" w:rsidRPr="00FA7DB7" w:rsidRDefault="00B90BCA" w:rsidP="00B90BCA">
      <w:pPr>
        <w:pStyle w:val="Default"/>
        <w:jc w:val="both"/>
        <w:rPr>
          <w:rFonts w:asciiTheme="minorHAnsi" w:hAnsiTheme="minorHAnsi" w:cstheme="minorHAnsi"/>
          <w:bCs/>
          <w:sz w:val="20"/>
          <w:szCs w:val="20"/>
        </w:rPr>
      </w:pPr>
    </w:p>
    <w:p w14:paraId="2DA54651" w14:textId="77777777" w:rsidR="008A6291" w:rsidRPr="00FA7DB7" w:rsidRDefault="008A6291" w:rsidP="008A6291">
      <w:pPr>
        <w:pStyle w:val="Default"/>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[Se debe valorar si:</w:t>
      </w:r>
    </w:p>
    <w:p w14:paraId="679F7A0F" w14:textId="3FFE2FC1" w:rsidR="00FD704D" w:rsidRPr="00FA7DB7" w:rsidRDefault="00FD704D" w:rsidP="00B90BCA">
      <w:pPr>
        <w:pStyle w:val="Default"/>
        <w:jc w:val="both"/>
        <w:rPr>
          <w:rFonts w:asciiTheme="minorHAnsi" w:hAnsiTheme="minorHAnsi" w:cstheme="minorHAnsi"/>
          <w:bCs/>
          <w:i/>
          <w:color w:val="00B0F0"/>
          <w:sz w:val="20"/>
          <w:szCs w:val="20"/>
        </w:rPr>
      </w:pPr>
    </w:p>
    <w:p w14:paraId="0C6E547C"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una oferta de destinos de movilidad adecuada a las características del título, tanto en lo que se refiere al número de plazas ofertadas, como a su adecuación académica, que facilita la adquisición de las competencias durante el periodo de movilidad.</w:t>
      </w:r>
    </w:p>
    <w:p w14:paraId="7FABD848"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cuenta con un procedimiento para la revisión y actualización de los convenios de movilidad existentes.</w:t>
      </w:r>
    </w:p>
    <w:p w14:paraId="7E954E0B"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cuenta con un procedimiento de información al alumnado y asignación de destinos de movilidad.</w:t>
      </w:r>
    </w:p>
    <w:p w14:paraId="40E000FE"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cuenta con un procedimiento de acogida de estudiantes de movilidad entrante.</w:t>
      </w:r>
    </w:p>
    <w:p w14:paraId="6C92F9FF"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cuenta un procedimiento para la designación de coordinadores de movilidad y para el reconocimiento de su función.</w:t>
      </w:r>
    </w:p>
    <w:p w14:paraId="5D8D90CA"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cuenta con un procedimiento de gestión y apoyo a estudiantes de movilidad por parte de la coordinación de movilidad y el organismo de relaciones internacionales.</w:t>
      </w:r>
    </w:p>
    <w:p w14:paraId="1AF8779E"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indicadores válidos para conocer la satisfacción del estudiantado saliente con los programas de movilidad. En estos procedimientos se analiza la satisfacción con los destinos, los acuerdos académicos, los coordinadores y organismos que gestionan la movilidad y el proceso de información y asignación de destinos. El título dispone de indicadores válidos para conocer la satisfacción del estudiantado entrante. En el caso de que se utilicen encuestas de satisfacción, el número de respuestas obtenido es suficiente para que los resultados sean estadísticamente significativos.</w:t>
      </w:r>
    </w:p>
    <w:p w14:paraId="4911A0E5" w14:textId="77777777"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indicadores válidos para conocer la satisfacción de los coordinadores de intercambios con los programas de movilidad. En el caso de que se utilicen encuestas de satisfacción, el número de respuestas obtenido es suficiente para que los resultados sean estadísticamente significativos.</w:t>
      </w:r>
    </w:p>
    <w:p w14:paraId="44564962" w14:textId="799104B6" w:rsidR="008A6291" w:rsidRPr="00FA7DB7" w:rsidRDefault="008A6291" w:rsidP="008A62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Los indicadores de satisfacción son analizados por los responsables y utilizados en el proceso de mejora de la titulación].</w:t>
      </w:r>
    </w:p>
    <w:p w14:paraId="4314ECB1" w14:textId="3E59E3B3" w:rsidR="00B90BCA" w:rsidRPr="00FA7DB7" w:rsidRDefault="00B90BCA" w:rsidP="00B90BCA">
      <w:pPr>
        <w:pStyle w:val="Default"/>
        <w:jc w:val="both"/>
        <w:rPr>
          <w:rFonts w:asciiTheme="minorHAnsi" w:hAnsiTheme="minorHAnsi" w:cstheme="minorHAnsi"/>
          <w:bCs/>
          <w:sz w:val="20"/>
          <w:szCs w:val="20"/>
        </w:rPr>
      </w:pPr>
    </w:p>
    <w:p w14:paraId="19811B1A" w14:textId="7A6F989C" w:rsidR="00EF7AE4" w:rsidRPr="00FA7DB7" w:rsidRDefault="00EF7AE4" w:rsidP="00B90BCA">
      <w:pPr>
        <w:pStyle w:val="Default"/>
        <w:jc w:val="both"/>
        <w:rPr>
          <w:rFonts w:asciiTheme="minorHAnsi" w:hAnsiTheme="minorHAnsi" w:cstheme="minorHAnsi"/>
          <w:bCs/>
          <w:sz w:val="20"/>
          <w:szCs w:val="20"/>
        </w:rPr>
      </w:pPr>
    </w:p>
    <w:p w14:paraId="35C68261" w14:textId="77777777" w:rsidR="008A6291" w:rsidRPr="00FA7DB7" w:rsidRDefault="008A6291" w:rsidP="008A6291">
      <w:pPr>
        <w:pStyle w:val="AGAETexto"/>
        <w:spacing w:before="0" w:after="0" w:line="240" w:lineRule="auto"/>
        <w:rPr>
          <w:rFonts w:asciiTheme="minorHAnsi" w:hAnsiTheme="minorHAnsi" w:cstheme="minorHAnsi"/>
          <w:i/>
          <w:color w:val="00B0F0"/>
          <w:sz w:val="20"/>
          <w:szCs w:val="20"/>
          <w:u w:val="single"/>
        </w:rPr>
      </w:pPr>
      <w:r w:rsidRPr="00FA7DB7">
        <w:rPr>
          <w:rFonts w:asciiTheme="minorHAnsi" w:hAnsiTheme="minorHAnsi" w:cstheme="minorHAnsi"/>
          <w:i/>
          <w:color w:val="00B0F0"/>
          <w:sz w:val="20"/>
          <w:szCs w:val="20"/>
          <w:u w:val="single"/>
        </w:rPr>
        <w:t xml:space="preserve">Evidencias según guía ACCUA: </w:t>
      </w:r>
    </w:p>
    <w:p w14:paraId="105FA6B2"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Listado de destinos de movilidad.</w:t>
      </w:r>
    </w:p>
    <w:p w14:paraId="408AAC6B"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Número de estudiantes de movilidad entrante y saliente.</w:t>
      </w:r>
    </w:p>
    <w:p w14:paraId="23054FBA"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revisión y actualización de convenios de movilidad.</w:t>
      </w:r>
    </w:p>
    <w:p w14:paraId="1DD057A8"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información y asignación de destinos de movilidad.</w:t>
      </w:r>
    </w:p>
    <w:p w14:paraId="5CBF8DA3"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acogida de estudiantes de movilidad entrante.</w:t>
      </w:r>
    </w:p>
    <w:p w14:paraId="3BA99C9A"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designación de coordinadores y reconocimiento de sus funciones.</w:t>
      </w:r>
    </w:p>
    <w:p w14:paraId="74E9997B"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gestión y apoyo al estudiante de movilidad.</w:t>
      </w:r>
    </w:p>
    <w:p w14:paraId="40B20635"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Indicadores de satisfacción del alumnado de movilidad.</w:t>
      </w:r>
    </w:p>
    <w:p w14:paraId="08A50948"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Análisis realizado de los indicadores de satisfacción y acciones de mejora puestas en marcha.</w:t>
      </w:r>
    </w:p>
    <w:p w14:paraId="3E61C375"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Indicadores de satisfacción del profesorado que coordina la movilidad.</w:t>
      </w:r>
    </w:p>
    <w:p w14:paraId="4794311A" w14:textId="77777777" w:rsidR="00032769" w:rsidRPr="00FA7DB7" w:rsidRDefault="00032769" w:rsidP="00032769">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Análisis realizado de los indicadores de satisfacción y acciones de mejora puestas en marcha.</w:t>
      </w:r>
    </w:p>
    <w:p w14:paraId="263E9CB3" w14:textId="14DF0C8B" w:rsidR="00EF7AE4" w:rsidRPr="00FA7DB7" w:rsidRDefault="00EF7AE4" w:rsidP="00B90BCA">
      <w:pPr>
        <w:pStyle w:val="Default"/>
        <w:jc w:val="both"/>
        <w:rPr>
          <w:rFonts w:asciiTheme="minorHAnsi" w:hAnsiTheme="minorHAnsi" w:cstheme="minorHAnsi"/>
          <w:bCs/>
          <w:sz w:val="20"/>
          <w:szCs w:val="20"/>
        </w:rPr>
      </w:pPr>
    </w:p>
    <w:p w14:paraId="5223C1FE" w14:textId="6E502407" w:rsidR="00543342" w:rsidRPr="00FA7DB7" w:rsidRDefault="00543342" w:rsidP="00543342">
      <w:pPr>
        <w:spacing w:after="0" w:line="240" w:lineRule="auto"/>
        <w:jc w:val="both"/>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 xml:space="preserve">[Los indicadores disponibles para este </w:t>
      </w:r>
      <w:proofErr w:type="spellStart"/>
      <w:r w:rsidRPr="00FA7DB7">
        <w:rPr>
          <w:rFonts w:asciiTheme="minorHAnsi" w:hAnsiTheme="minorHAnsi" w:cstheme="minorHAnsi"/>
          <w:i/>
          <w:color w:val="FF0000"/>
          <w:sz w:val="20"/>
          <w:szCs w:val="20"/>
        </w:rPr>
        <w:t>subcriterio</w:t>
      </w:r>
      <w:proofErr w:type="spellEnd"/>
      <w:r w:rsidRPr="00FA7DB7">
        <w:rPr>
          <w:rFonts w:asciiTheme="minorHAnsi" w:hAnsiTheme="minorHAnsi" w:cstheme="minorHAnsi"/>
          <w:i/>
          <w:color w:val="FF0000"/>
          <w:sz w:val="20"/>
          <w:szCs w:val="20"/>
        </w:rPr>
        <w:t xml:space="preserve"> son </w:t>
      </w:r>
      <w:r w:rsidR="001158FC" w:rsidRPr="00FA7DB7">
        <w:rPr>
          <w:rFonts w:asciiTheme="minorHAnsi" w:hAnsiTheme="minorHAnsi" w:cstheme="minorHAnsi"/>
          <w:i/>
          <w:color w:val="FF0000"/>
          <w:sz w:val="20"/>
          <w:szCs w:val="20"/>
        </w:rPr>
        <w:t>ISGC-</w:t>
      </w:r>
      <w:r w:rsidRPr="00FA7DB7">
        <w:rPr>
          <w:rFonts w:asciiTheme="minorHAnsi" w:hAnsiTheme="minorHAnsi" w:cstheme="minorHAnsi"/>
          <w:i/>
          <w:color w:val="FF0000"/>
          <w:sz w:val="20"/>
          <w:szCs w:val="20"/>
        </w:rPr>
        <w:t>P04</w:t>
      </w:r>
      <w:r w:rsidR="001158FC" w:rsidRPr="00FA7DB7">
        <w:rPr>
          <w:rFonts w:asciiTheme="minorHAnsi" w:hAnsiTheme="minorHAnsi" w:cstheme="minorHAnsi"/>
          <w:i/>
          <w:color w:val="FF0000"/>
          <w:sz w:val="20"/>
          <w:szCs w:val="20"/>
        </w:rPr>
        <w:t>-</w:t>
      </w:r>
      <w:r w:rsidRPr="00FA7DB7">
        <w:rPr>
          <w:rFonts w:asciiTheme="minorHAnsi" w:hAnsiTheme="minorHAnsi" w:cstheme="minorHAnsi"/>
          <w:i/>
          <w:color w:val="FF0000"/>
          <w:sz w:val="20"/>
          <w:szCs w:val="20"/>
        </w:rPr>
        <w:t>09 y 15].</w:t>
      </w:r>
    </w:p>
    <w:p w14:paraId="4D75A5FF" w14:textId="77777777" w:rsidR="007420C3" w:rsidRPr="00FA7DB7" w:rsidRDefault="007420C3" w:rsidP="007420C3">
      <w:pPr>
        <w:pStyle w:val="AGAETexto"/>
        <w:spacing w:before="0" w:after="0" w:line="240" w:lineRule="auto"/>
        <w:rPr>
          <w:rFonts w:asciiTheme="minorHAnsi" w:hAnsiTheme="minorHAnsi" w:cstheme="minorHAnsi"/>
          <w:i/>
          <w:color w:val="FF0000"/>
          <w:sz w:val="20"/>
          <w:szCs w:val="20"/>
          <w:shd w:val="clear" w:color="auto" w:fill="FFFFFF"/>
        </w:rPr>
      </w:pPr>
      <w:r w:rsidRPr="00FA7DB7">
        <w:rPr>
          <w:rFonts w:asciiTheme="minorHAnsi" w:hAnsiTheme="minorHAnsi" w:cstheme="minorHAnsi"/>
          <w:i/>
          <w:color w:val="FF0000"/>
          <w:sz w:val="20"/>
          <w:szCs w:val="20"/>
          <w:shd w:val="clear" w:color="auto" w:fill="FFFFFF"/>
        </w:rPr>
        <w:t>[Cuando se analicen indicadores se recomienda indicar que estos están además en el anexo 1]</w:t>
      </w:r>
    </w:p>
    <w:p w14:paraId="63C11C87" w14:textId="77777777" w:rsidR="007420C3" w:rsidRPr="00FA7DB7" w:rsidRDefault="007420C3" w:rsidP="00543342">
      <w:pPr>
        <w:spacing w:after="0" w:line="240" w:lineRule="auto"/>
        <w:jc w:val="both"/>
        <w:rPr>
          <w:rFonts w:ascii="Calibri" w:hAnsi="Calibri" w:cs="Calibri"/>
        </w:rPr>
      </w:pPr>
    </w:p>
    <w:p w14:paraId="219F6EFE" w14:textId="77777777" w:rsidR="008A6291" w:rsidRPr="00FA7DB7" w:rsidRDefault="008A6291" w:rsidP="00B90BCA">
      <w:pPr>
        <w:pStyle w:val="Default"/>
        <w:jc w:val="both"/>
        <w:rPr>
          <w:rFonts w:asciiTheme="minorHAnsi" w:hAnsiTheme="minorHAnsi" w:cstheme="minorHAnsi"/>
          <w:bCs/>
          <w:sz w:val="20"/>
          <w:szCs w:val="20"/>
        </w:rPr>
      </w:pPr>
    </w:p>
    <w:p w14:paraId="6B4320FB" w14:textId="77777777" w:rsidR="00EF7AE4" w:rsidRPr="00FA7DB7" w:rsidRDefault="00EF7AE4" w:rsidP="00B90BCA">
      <w:pPr>
        <w:pStyle w:val="Default"/>
        <w:jc w:val="both"/>
        <w:rPr>
          <w:rFonts w:asciiTheme="minorHAnsi" w:hAnsiTheme="minorHAnsi" w:cstheme="minorHAnsi"/>
          <w:bCs/>
          <w:sz w:val="20"/>
          <w:szCs w:val="20"/>
        </w:rPr>
      </w:pPr>
    </w:p>
    <w:p w14:paraId="7549E8D8" w14:textId="4708FDC5" w:rsidR="00C5328B" w:rsidRPr="00FA7DB7" w:rsidRDefault="0037518F"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r w:rsidRPr="00FA7DB7">
        <w:rPr>
          <w:rFonts w:ascii="Calibri" w:hAnsi="Calibri" w:cs="Calibri"/>
          <w:i/>
          <w:color w:val="FFFFFF" w:themeColor="background1"/>
          <w:u w:val="single"/>
          <w:shd w:val="clear" w:color="auto" w:fill="1F497D"/>
        </w:rPr>
        <w:t xml:space="preserve">Subcriterio </w:t>
      </w:r>
      <w:r w:rsidR="00C5328B" w:rsidRPr="00FA7DB7">
        <w:rPr>
          <w:rFonts w:ascii="Calibri" w:hAnsi="Calibri" w:cs="Calibri"/>
          <w:i/>
          <w:color w:val="FFFFFF" w:themeColor="background1"/>
          <w:u w:val="single"/>
          <w:shd w:val="clear" w:color="auto" w:fill="1F497D"/>
        </w:rPr>
        <w:t>5</w:t>
      </w:r>
      <w:r w:rsidRPr="00FA7DB7">
        <w:rPr>
          <w:rFonts w:ascii="Calibri" w:hAnsi="Calibri" w:cs="Calibri"/>
          <w:i/>
          <w:color w:val="FFFFFF" w:themeColor="background1"/>
          <w:u w:val="single"/>
          <w:shd w:val="clear" w:color="auto" w:fill="1F497D"/>
        </w:rPr>
        <w:t>.3</w:t>
      </w:r>
      <w:r w:rsidR="00C5328B" w:rsidRPr="00FA7DB7">
        <w:rPr>
          <w:rFonts w:ascii="Calibri" w:hAnsi="Calibri" w:cs="Calibri"/>
          <w:i/>
          <w:color w:val="FFFFFF" w:themeColor="background1"/>
          <w:shd w:val="clear" w:color="auto" w:fill="1F497D"/>
        </w:rPr>
        <w:t xml:space="preserve">: </w:t>
      </w:r>
      <w:r w:rsidR="00C5328B" w:rsidRPr="00FA7DB7">
        <w:rPr>
          <w:rFonts w:asciiTheme="minorHAnsi" w:hAnsiTheme="minorHAnsi" w:cstheme="minorHAnsi"/>
          <w:i/>
          <w:color w:val="FFFFFF" w:themeColor="background1"/>
        </w:rPr>
        <w:t>En el caso de que el programa formativo incluya prácticas académicas externas, se desarrollan de manera adecuada, dispone de plazas suficientes con convenios de cooperación educativos específicos para el título. El alumnado está satisfecho con las prácticas externas. Las personas externas que tutelan las prácticas están satisfechas con las mismas</w:t>
      </w:r>
    </w:p>
    <w:p w14:paraId="2B291633" w14:textId="77777777" w:rsidR="00B90BCA" w:rsidRPr="00FA7DB7" w:rsidRDefault="00B90BCA" w:rsidP="003C16DA">
      <w:pPr>
        <w:pStyle w:val="Default"/>
        <w:jc w:val="both"/>
        <w:rPr>
          <w:rFonts w:asciiTheme="minorHAnsi" w:hAnsiTheme="minorHAnsi" w:cstheme="minorHAnsi"/>
          <w:bCs/>
          <w:sz w:val="20"/>
          <w:szCs w:val="20"/>
        </w:rPr>
      </w:pPr>
    </w:p>
    <w:p w14:paraId="60D56C0B" w14:textId="77777777" w:rsidR="00543342" w:rsidRPr="00FA7DB7" w:rsidRDefault="00543342" w:rsidP="00543342">
      <w:pPr>
        <w:pStyle w:val="Default"/>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[Se debe valorar si:</w:t>
      </w:r>
    </w:p>
    <w:p w14:paraId="3B17A421" w14:textId="1CA79AD1" w:rsidR="0037518F" w:rsidRPr="00FA7DB7" w:rsidRDefault="0037518F" w:rsidP="0037518F">
      <w:pPr>
        <w:autoSpaceDE w:val="0"/>
        <w:autoSpaceDN w:val="0"/>
        <w:adjustRightInd w:val="0"/>
        <w:spacing w:after="0"/>
        <w:jc w:val="both"/>
        <w:rPr>
          <w:rFonts w:asciiTheme="minorHAnsi" w:hAnsiTheme="minorHAnsi" w:cstheme="minorHAnsi"/>
          <w:sz w:val="20"/>
          <w:szCs w:val="20"/>
        </w:rPr>
      </w:pPr>
    </w:p>
    <w:p w14:paraId="0BEDFBB7"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 xml:space="preserve">El título dispone de una oferta de destinos para la realización de las prácticas externas, tanto obligatorias como optativas, que resulta suficiente para el número de estudiantes y adecuado para alcanzar las competencias previstas. </w:t>
      </w:r>
    </w:p>
    <w:p w14:paraId="43DE442B"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un procedimiento para revisar y actualizar la oferta de convenios de prácticas y para analizar las actividades realizadas en las prácticas externas, principalmente en lo que se refiere a su adecuación para la adquisición de las competencias previstas en el programa formativo.</w:t>
      </w:r>
    </w:p>
    <w:p w14:paraId="40E9F14D"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un procedimiento de asignación de las prácticas externas.</w:t>
      </w:r>
    </w:p>
    <w:p w14:paraId="69DADBFB"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número de tutores externos y su capacitación son adecuados para facilitar la adquisición, por parte del estudiantado, de las competencias previstas.</w:t>
      </w:r>
    </w:p>
    <w:p w14:paraId="0C361131"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criterios claros y definidos para la designación de los tutores externos.</w:t>
      </w:r>
    </w:p>
    <w:p w14:paraId="113E3296"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un procedimiento de coordinación de los tutores externos, en el que se informe sobre sus funciones, competencias, objetivos y sistemas utilizados para evaluar el desempeño del estudiantado.</w:t>
      </w:r>
    </w:p>
    <w:p w14:paraId="1A27574C"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indicadores válidos para conocer la satisfacción de los estudiantes con las prácticas externas, tanto en lo que se refiere a las características de los destinos, como los tutores de prácticas, sistemas de evaluación empleados, etc. En el caso de que se utilicen encuestas de satisfacción, el número de respuestas obtenido es suficiente para que los resultados sean estadísticamente significativos.</w:t>
      </w:r>
    </w:p>
    <w:p w14:paraId="724CB7ED" w14:textId="77777777"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 indicadores válidos para conocer la satisfacción de los tutores de prácticas externas, tanto en lo que se refiere la función realizada, como al procedimiento de coordinación, información recibida, evaluación del estudiantado, etc. En el caso de que se utilicen encuestas de satisfacción, el número de respuestas obtenido es suficiente para que los resultados sean estadísticamente significativos.</w:t>
      </w:r>
    </w:p>
    <w:p w14:paraId="0438FD95" w14:textId="3EFC572B" w:rsidR="00543342" w:rsidRPr="00FA7DB7" w:rsidRDefault="00543342" w:rsidP="00543342">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Los indicadores de satisfacción son analizados por los responsables y utilizados en el proceso de mejora de la titulación</w:t>
      </w:r>
      <w:r w:rsidR="001158FC" w:rsidRPr="00FA7DB7">
        <w:rPr>
          <w:rFonts w:asciiTheme="minorHAnsi" w:hAnsiTheme="minorHAnsi" w:cstheme="minorHAnsi"/>
          <w:i/>
          <w:color w:val="00B0F0"/>
          <w:sz w:val="20"/>
          <w:szCs w:val="20"/>
        </w:rPr>
        <w:t>]</w:t>
      </w:r>
      <w:r w:rsidRPr="00FA7DB7">
        <w:rPr>
          <w:rFonts w:asciiTheme="minorHAnsi" w:hAnsiTheme="minorHAnsi" w:cstheme="minorHAnsi"/>
          <w:i/>
          <w:color w:val="00B0F0"/>
          <w:sz w:val="20"/>
          <w:szCs w:val="20"/>
        </w:rPr>
        <w:t>.</w:t>
      </w:r>
    </w:p>
    <w:p w14:paraId="64EAF5AD" w14:textId="071FAA8D" w:rsidR="00543342" w:rsidRPr="00FA7DB7" w:rsidRDefault="00543342" w:rsidP="0037518F">
      <w:pPr>
        <w:autoSpaceDE w:val="0"/>
        <w:autoSpaceDN w:val="0"/>
        <w:adjustRightInd w:val="0"/>
        <w:spacing w:after="0"/>
        <w:jc w:val="both"/>
        <w:rPr>
          <w:rFonts w:asciiTheme="minorHAnsi" w:hAnsiTheme="minorHAnsi" w:cstheme="minorHAnsi"/>
          <w:sz w:val="20"/>
          <w:szCs w:val="20"/>
        </w:rPr>
      </w:pPr>
    </w:p>
    <w:p w14:paraId="11BE3908" w14:textId="796C7504" w:rsidR="00EE774C" w:rsidRPr="00FA7DB7" w:rsidRDefault="00EE774C" w:rsidP="00EE774C">
      <w:pPr>
        <w:spacing w:after="0" w:line="240" w:lineRule="auto"/>
        <w:jc w:val="both"/>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[Se recomienda analizar la información recogida en el ANEXO III:</w:t>
      </w:r>
    </w:p>
    <w:p w14:paraId="50D20F7E" w14:textId="5760247B" w:rsidR="00380CB2" w:rsidRPr="00FA7DB7" w:rsidRDefault="00380CB2" w:rsidP="00380CB2">
      <w:pPr>
        <w:pStyle w:val="AGAETexto"/>
        <w:numPr>
          <w:ilvl w:val="0"/>
          <w:numId w:val="24"/>
        </w:numPr>
        <w:spacing w:before="0" w:after="0" w:line="240" w:lineRule="auto"/>
        <w:rPr>
          <w:rFonts w:asciiTheme="minorHAnsi" w:eastAsia="Times New Roman" w:hAnsiTheme="minorHAnsi" w:cstheme="minorHAnsi"/>
          <w:i/>
          <w:color w:val="FF0000"/>
          <w:sz w:val="20"/>
          <w:szCs w:val="20"/>
        </w:rPr>
      </w:pPr>
      <w:r w:rsidRPr="00FA7DB7">
        <w:rPr>
          <w:rFonts w:asciiTheme="minorHAnsi" w:eastAsia="Times New Roman" w:hAnsiTheme="minorHAnsi" w:cstheme="minorHAnsi"/>
          <w:i/>
          <w:color w:val="FF0000"/>
          <w:sz w:val="20"/>
          <w:szCs w:val="20"/>
        </w:rPr>
        <w:t>Información sobre prácticas académicas externas (último curso).</w:t>
      </w:r>
    </w:p>
    <w:p w14:paraId="461D3206" w14:textId="71A8D5F9" w:rsidR="00EE774C" w:rsidRPr="00FA7DB7" w:rsidRDefault="00EE774C" w:rsidP="00EE774C">
      <w:pPr>
        <w:pStyle w:val="AGAETexto"/>
        <w:numPr>
          <w:ilvl w:val="0"/>
          <w:numId w:val="24"/>
        </w:numPr>
        <w:spacing w:before="0" w:after="0" w:line="240" w:lineRule="auto"/>
        <w:rPr>
          <w:rFonts w:asciiTheme="minorHAnsi" w:eastAsia="Times New Roman" w:hAnsiTheme="minorHAnsi" w:cstheme="minorHAnsi"/>
          <w:i/>
          <w:color w:val="FF0000"/>
          <w:sz w:val="20"/>
          <w:szCs w:val="20"/>
        </w:rPr>
      </w:pPr>
      <w:r w:rsidRPr="00FA7DB7">
        <w:rPr>
          <w:rFonts w:asciiTheme="minorHAnsi" w:eastAsia="Times New Roman" w:hAnsiTheme="minorHAnsi" w:cstheme="minorHAnsi"/>
          <w:i/>
          <w:color w:val="FF0000"/>
          <w:sz w:val="20"/>
          <w:szCs w:val="20"/>
        </w:rPr>
        <w:t>1) Tabla</w:t>
      </w:r>
      <w:r w:rsidR="001158FC" w:rsidRPr="00FA7DB7">
        <w:rPr>
          <w:rFonts w:asciiTheme="minorHAnsi" w:eastAsia="Times New Roman" w:hAnsiTheme="minorHAnsi" w:cstheme="minorHAnsi"/>
          <w:i/>
          <w:color w:val="FF0000"/>
          <w:sz w:val="20"/>
          <w:szCs w:val="20"/>
        </w:rPr>
        <w:t>.</w:t>
      </w:r>
      <w:r w:rsidRPr="00FA7DB7">
        <w:rPr>
          <w:rFonts w:asciiTheme="minorHAnsi" w:eastAsia="Times New Roman" w:hAnsiTheme="minorHAnsi" w:cstheme="minorHAnsi"/>
          <w:i/>
          <w:color w:val="FF0000"/>
          <w:sz w:val="20"/>
          <w:szCs w:val="20"/>
        </w:rPr>
        <w:t xml:space="preserve"> Información sobre prácticas académicas externas (último curso). </w:t>
      </w:r>
    </w:p>
    <w:p w14:paraId="6914E11A" w14:textId="0A99E8E5" w:rsidR="00EE774C" w:rsidRPr="00FA7DB7" w:rsidRDefault="00EE774C" w:rsidP="00EE774C">
      <w:pPr>
        <w:pStyle w:val="AGAETexto"/>
        <w:numPr>
          <w:ilvl w:val="0"/>
          <w:numId w:val="24"/>
        </w:numPr>
        <w:spacing w:before="0" w:after="0" w:line="240" w:lineRule="auto"/>
        <w:rPr>
          <w:rFonts w:asciiTheme="minorHAnsi" w:eastAsia="Times New Roman" w:hAnsiTheme="minorHAnsi" w:cstheme="minorHAnsi"/>
          <w:i/>
          <w:color w:val="FF0000"/>
          <w:sz w:val="20"/>
          <w:szCs w:val="20"/>
        </w:rPr>
      </w:pPr>
      <w:r w:rsidRPr="00FA7DB7">
        <w:rPr>
          <w:rFonts w:asciiTheme="minorHAnsi" w:eastAsia="Times New Roman" w:hAnsiTheme="minorHAnsi" w:cstheme="minorHAnsi"/>
          <w:i/>
          <w:color w:val="FF0000"/>
          <w:sz w:val="20"/>
          <w:szCs w:val="20"/>
        </w:rPr>
        <w:t>2) Tabla. Personal académico o profesional responsable de las tutorías de las prácticas académicas externas].</w:t>
      </w:r>
    </w:p>
    <w:p w14:paraId="00EC2FA7" w14:textId="77777777" w:rsidR="00EE774C" w:rsidRPr="00FA7DB7" w:rsidRDefault="00EE774C" w:rsidP="00EE774C">
      <w:pPr>
        <w:spacing w:after="0" w:line="240" w:lineRule="auto"/>
        <w:jc w:val="both"/>
        <w:rPr>
          <w:rFonts w:asciiTheme="minorHAnsi" w:hAnsiTheme="minorHAnsi" w:cstheme="minorHAnsi"/>
          <w:i/>
          <w:color w:val="FF0000"/>
          <w:sz w:val="20"/>
          <w:szCs w:val="20"/>
        </w:rPr>
      </w:pPr>
    </w:p>
    <w:p w14:paraId="2A418C46" w14:textId="77777777" w:rsidR="00543342" w:rsidRPr="00FA7DB7" w:rsidRDefault="00543342" w:rsidP="00543342">
      <w:pPr>
        <w:pStyle w:val="AGAETexto"/>
        <w:spacing w:before="0" w:after="0" w:line="240" w:lineRule="auto"/>
        <w:rPr>
          <w:rFonts w:asciiTheme="minorHAnsi" w:hAnsiTheme="minorHAnsi" w:cstheme="minorHAnsi"/>
          <w:i/>
          <w:color w:val="00B0F0"/>
          <w:sz w:val="20"/>
          <w:szCs w:val="20"/>
          <w:u w:val="single"/>
        </w:rPr>
      </w:pPr>
      <w:r w:rsidRPr="00FA7DB7">
        <w:rPr>
          <w:rFonts w:asciiTheme="minorHAnsi" w:hAnsiTheme="minorHAnsi" w:cstheme="minorHAnsi"/>
          <w:i/>
          <w:color w:val="00B0F0"/>
          <w:sz w:val="20"/>
          <w:szCs w:val="20"/>
          <w:u w:val="single"/>
        </w:rPr>
        <w:t xml:space="preserve">Evidencias según guía ACCUA: </w:t>
      </w:r>
    </w:p>
    <w:p w14:paraId="72C68FEA" w14:textId="77777777"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Listado de convenios para prácticas externas y número de plazas ofertadas.</w:t>
      </w:r>
    </w:p>
    <w:p w14:paraId="468BFDEB" w14:textId="77777777"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Listado de plazas cubiertas en cada centro.</w:t>
      </w:r>
    </w:p>
    <w:p w14:paraId="0398E83B" w14:textId="77777777"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asignación de las prácticas externas.</w:t>
      </w:r>
    </w:p>
    <w:p w14:paraId="1C11DA54" w14:textId="77777777"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Número de tutores de prácticas de la universidad y del centro conveniado. Criterios de designación de tutores.</w:t>
      </w:r>
    </w:p>
    <w:p w14:paraId="73F19983" w14:textId="77777777"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revisión y actualización de los convenios de prácticas.</w:t>
      </w:r>
    </w:p>
    <w:p w14:paraId="169B1DFE" w14:textId="77777777"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coordinación de los tutores externos.</w:t>
      </w:r>
    </w:p>
    <w:p w14:paraId="57DA6639" w14:textId="77777777"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Procedimiento de presentación y evaluación de los resultados de las prácticas (rúbrica).</w:t>
      </w:r>
    </w:p>
    <w:p w14:paraId="70908773" w14:textId="4E90903E" w:rsidR="00543342" w:rsidRPr="00FA7DB7" w:rsidRDefault="00543342"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Información sobre prácticas académicas externas (último curso).</w:t>
      </w:r>
    </w:p>
    <w:p w14:paraId="71D6F319" w14:textId="77777777" w:rsidR="00A87D8B" w:rsidRPr="00FA7DB7" w:rsidRDefault="00A87D8B"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Indicadores de satisfacción del alumnado con las prácticas externas.</w:t>
      </w:r>
    </w:p>
    <w:p w14:paraId="5E38E9CF" w14:textId="77777777" w:rsidR="00A87D8B" w:rsidRPr="00FA7DB7" w:rsidRDefault="00A87D8B"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Análisis realizado de los indicadores de satisfacción y acciones de mejora puestas en marcha.</w:t>
      </w:r>
    </w:p>
    <w:p w14:paraId="486EA169" w14:textId="77777777" w:rsidR="00A87D8B" w:rsidRPr="00FA7DB7" w:rsidRDefault="00A87D8B"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Indicadores de satisfacción de los tutores de prácticas.</w:t>
      </w:r>
    </w:p>
    <w:p w14:paraId="5733129C" w14:textId="77777777" w:rsidR="00A87D8B" w:rsidRPr="00FA7DB7" w:rsidRDefault="00A87D8B" w:rsidP="00A87D8B">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Análisis realizado de los indicadores de satisfacción y acciones de mejora puestas en marcha.</w:t>
      </w:r>
    </w:p>
    <w:p w14:paraId="1AFA75B7" w14:textId="77777777" w:rsidR="00543342" w:rsidRPr="00FA7DB7" w:rsidRDefault="00543342" w:rsidP="00A87D8B">
      <w:pPr>
        <w:pStyle w:val="AGAETexto"/>
        <w:spacing w:before="0" w:after="0" w:line="240" w:lineRule="auto"/>
        <w:ind w:left="360"/>
        <w:rPr>
          <w:rFonts w:ascii="Source Sans Pro" w:hAnsi="Source Sans Pro" w:cs="Arial"/>
          <w:sz w:val="21"/>
          <w:szCs w:val="21"/>
          <w:lang w:val="es-ES_tradnl"/>
        </w:rPr>
      </w:pPr>
    </w:p>
    <w:p w14:paraId="28983A93" w14:textId="7F7EAC0D" w:rsidR="00EE774C" w:rsidRPr="00FA7DB7" w:rsidRDefault="00EE774C" w:rsidP="00EE774C">
      <w:pPr>
        <w:spacing w:after="0" w:line="240" w:lineRule="auto"/>
        <w:jc w:val="both"/>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 xml:space="preserve">[Los indicadores disponibles para este </w:t>
      </w:r>
      <w:proofErr w:type="spellStart"/>
      <w:r w:rsidRPr="00FA7DB7">
        <w:rPr>
          <w:rFonts w:asciiTheme="minorHAnsi" w:hAnsiTheme="minorHAnsi" w:cstheme="minorHAnsi"/>
          <w:i/>
          <w:color w:val="FF0000"/>
          <w:sz w:val="20"/>
          <w:szCs w:val="20"/>
        </w:rPr>
        <w:t>subcriterio</w:t>
      </w:r>
      <w:proofErr w:type="spellEnd"/>
      <w:r w:rsidRPr="00FA7DB7">
        <w:rPr>
          <w:rFonts w:asciiTheme="minorHAnsi" w:hAnsiTheme="minorHAnsi" w:cstheme="minorHAnsi"/>
          <w:i/>
          <w:color w:val="FF0000"/>
          <w:sz w:val="20"/>
          <w:szCs w:val="20"/>
        </w:rPr>
        <w:t xml:space="preserve"> son</w:t>
      </w:r>
      <w:r w:rsidR="001158FC" w:rsidRPr="00FA7DB7">
        <w:rPr>
          <w:rFonts w:asciiTheme="minorHAnsi" w:hAnsiTheme="minorHAnsi" w:cstheme="minorHAnsi"/>
          <w:i/>
          <w:color w:val="FF0000"/>
          <w:sz w:val="20"/>
          <w:szCs w:val="20"/>
        </w:rPr>
        <w:t xml:space="preserve"> ISGC-</w:t>
      </w:r>
      <w:r w:rsidRPr="00FA7DB7">
        <w:rPr>
          <w:rFonts w:asciiTheme="minorHAnsi" w:hAnsiTheme="minorHAnsi" w:cstheme="minorHAnsi"/>
          <w:i/>
          <w:color w:val="FF0000"/>
          <w:sz w:val="20"/>
          <w:szCs w:val="20"/>
        </w:rPr>
        <w:t>P04</w:t>
      </w:r>
      <w:r w:rsidR="001158FC" w:rsidRPr="00FA7DB7">
        <w:rPr>
          <w:rFonts w:asciiTheme="minorHAnsi" w:hAnsiTheme="minorHAnsi" w:cstheme="minorHAnsi"/>
          <w:i/>
          <w:color w:val="FF0000"/>
          <w:sz w:val="20"/>
          <w:szCs w:val="20"/>
        </w:rPr>
        <w:t>-0</w:t>
      </w:r>
      <w:r w:rsidRPr="00FA7DB7">
        <w:rPr>
          <w:rFonts w:asciiTheme="minorHAnsi" w:hAnsiTheme="minorHAnsi" w:cstheme="minorHAnsi"/>
          <w:i/>
          <w:color w:val="FF0000"/>
          <w:sz w:val="20"/>
          <w:szCs w:val="20"/>
        </w:rPr>
        <w:t>8</w:t>
      </w:r>
      <w:r w:rsidR="001158FC" w:rsidRPr="00FA7DB7">
        <w:rPr>
          <w:rFonts w:asciiTheme="minorHAnsi" w:hAnsiTheme="minorHAnsi" w:cstheme="minorHAnsi"/>
          <w:i/>
          <w:color w:val="FF0000"/>
          <w:sz w:val="20"/>
          <w:szCs w:val="20"/>
        </w:rPr>
        <w:t xml:space="preserve">, 12, </w:t>
      </w:r>
      <w:r w:rsidRPr="00FA7DB7">
        <w:rPr>
          <w:rFonts w:asciiTheme="minorHAnsi" w:hAnsiTheme="minorHAnsi" w:cstheme="minorHAnsi"/>
          <w:i/>
          <w:color w:val="FF0000"/>
          <w:sz w:val="20"/>
          <w:szCs w:val="20"/>
        </w:rPr>
        <w:t>13</w:t>
      </w:r>
      <w:r w:rsidR="001158FC" w:rsidRPr="00FA7DB7">
        <w:rPr>
          <w:rFonts w:asciiTheme="minorHAnsi" w:hAnsiTheme="minorHAnsi" w:cstheme="minorHAnsi"/>
          <w:i/>
          <w:color w:val="FF0000"/>
          <w:sz w:val="20"/>
          <w:szCs w:val="20"/>
        </w:rPr>
        <w:t xml:space="preserve"> y </w:t>
      </w:r>
      <w:r w:rsidRPr="00FA7DB7">
        <w:rPr>
          <w:rFonts w:asciiTheme="minorHAnsi" w:hAnsiTheme="minorHAnsi" w:cstheme="minorHAnsi"/>
          <w:i/>
          <w:color w:val="FF0000"/>
          <w:sz w:val="20"/>
          <w:szCs w:val="20"/>
        </w:rPr>
        <w:t>14].</w:t>
      </w:r>
    </w:p>
    <w:p w14:paraId="212E1C7C" w14:textId="77777777" w:rsidR="007420C3" w:rsidRPr="00FA7DB7" w:rsidRDefault="007420C3" w:rsidP="007420C3">
      <w:pPr>
        <w:pStyle w:val="AGAETexto"/>
        <w:spacing w:before="0" w:after="0" w:line="240" w:lineRule="auto"/>
        <w:rPr>
          <w:rFonts w:asciiTheme="minorHAnsi" w:hAnsiTheme="minorHAnsi" w:cstheme="minorHAnsi"/>
          <w:i/>
          <w:color w:val="FF0000"/>
          <w:sz w:val="20"/>
          <w:szCs w:val="20"/>
          <w:shd w:val="clear" w:color="auto" w:fill="FFFFFF"/>
        </w:rPr>
      </w:pPr>
      <w:r w:rsidRPr="00FA7DB7">
        <w:rPr>
          <w:rFonts w:asciiTheme="minorHAnsi" w:hAnsiTheme="minorHAnsi" w:cstheme="minorHAnsi"/>
          <w:i/>
          <w:color w:val="FF0000"/>
          <w:sz w:val="20"/>
          <w:szCs w:val="20"/>
          <w:shd w:val="clear" w:color="auto" w:fill="FFFFFF"/>
        </w:rPr>
        <w:t>[Cuando se analicen indicadores se recomienda indicar que estos están además en el anexo 1]</w:t>
      </w:r>
    </w:p>
    <w:p w14:paraId="5AB12893" w14:textId="77777777" w:rsidR="007420C3" w:rsidRPr="00FA7DB7" w:rsidRDefault="007420C3" w:rsidP="00EE774C">
      <w:pPr>
        <w:spacing w:after="0" w:line="240" w:lineRule="auto"/>
        <w:jc w:val="both"/>
        <w:rPr>
          <w:rFonts w:ascii="Calibri" w:hAnsi="Calibri" w:cs="Calibri"/>
        </w:rPr>
      </w:pPr>
    </w:p>
    <w:p w14:paraId="652B97EB" w14:textId="77777777" w:rsidR="00543342" w:rsidRPr="00FA7DB7" w:rsidRDefault="00543342" w:rsidP="0037518F">
      <w:pPr>
        <w:autoSpaceDE w:val="0"/>
        <w:autoSpaceDN w:val="0"/>
        <w:adjustRightInd w:val="0"/>
        <w:spacing w:after="0"/>
        <w:jc w:val="both"/>
        <w:rPr>
          <w:rFonts w:ascii="Calibri" w:hAnsi="Calibri" w:cs="Calibri"/>
        </w:rPr>
      </w:pPr>
    </w:p>
    <w:p w14:paraId="28BC7F34" w14:textId="636D579C" w:rsidR="00C5328B" w:rsidRPr="00FA7DB7" w:rsidRDefault="00B90BCA"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r w:rsidRPr="00FA7DB7">
        <w:rPr>
          <w:rFonts w:ascii="Calibri" w:hAnsi="Calibri" w:cs="Calibri"/>
          <w:i/>
          <w:color w:val="FFFFFF" w:themeColor="background1"/>
          <w:u w:val="single"/>
          <w:shd w:val="clear" w:color="auto" w:fill="1F497D"/>
        </w:rPr>
        <w:lastRenderedPageBreak/>
        <w:t>Subcriterio 5</w:t>
      </w:r>
      <w:r w:rsidR="0037518F" w:rsidRPr="00FA7DB7">
        <w:rPr>
          <w:rFonts w:ascii="Calibri" w:hAnsi="Calibri" w:cs="Calibri"/>
          <w:i/>
          <w:color w:val="FFFFFF" w:themeColor="background1"/>
          <w:u w:val="single"/>
          <w:shd w:val="clear" w:color="auto" w:fill="1F497D"/>
        </w:rPr>
        <w:t>.4</w:t>
      </w:r>
      <w:r w:rsidR="0037518F" w:rsidRPr="00FA7DB7">
        <w:rPr>
          <w:rFonts w:asciiTheme="minorHAnsi" w:hAnsiTheme="minorHAnsi" w:cstheme="minorHAnsi"/>
          <w:i/>
          <w:color w:val="FFFFFF" w:themeColor="background1"/>
        </w:rPr>
        <w:t xml:space="preserve">: </w:t>
      </w:r>
      <w:r w:rsidRPr="00FA7DB7">
        <w:rPr>
          <w:rFonts w:asciiTheme="minorHAnsi" w:hAnsiTheme="minorHAnsi" w:cstheme="minorHAnsi"/>
          <w:i/>
          <w:color w:val="FFFFFF" w:themeColor="background1"/>
        </w:rPr>
        <w:t>El personal de apoyo que participa en las actividades formativas es adecuado y suficiente para el desarrollo del programa formativo y está satisfecho con el desarrollo del programa formativo/centro donde se imparte el título</w:t>
      </w:r>
    </w:p>
    <w:p w14:paraId="4B604E91" w14:textId="34DFD760" w:rsidR="0037518F" w:rsidRPr="00FA7DB7" w:rsidRDefault="0037518F" w:rsidP="0037518F">
      <w:pPr>
        <w:spacing w:after="0" w:line="240" w:lineRule="auto"/>
        <w:jc w:val="both"/>
        <w:rPr>
          <w:rFonts w:ascii="Calibri" w:hAnsi="Calibri" w:cs="Calibri"/>
        </w:rPr>
      </w:pPr>
    </w:p>
    <w:p w14:paraId="57644F58" w14:textId="1EB78D1A" w:rsidR="00191A6C" w:rsidRPr="00FA7DB7" w:rsidRDefault="00B40420" w:rsidP="00191A6C">
      <w:pPr>
        <w:spacing w:after="57" w:line="240" w:lineRule="auto"/>
        <w:jc w:val="both"/>
        <w:rPr>
          <w:rFonts w:asciiTheme="minorHAnsi" w:hAnsiTheme="minorHAnsi" w:cstheme="minorHAnsi"/>
          <w:sz w:val="20"/>
          <w:szCs w:val="20"/>
        </w:rPr>
      </w:pPr>
      <w:r w:rsidRPr="00FA7DB7">
        <w:rPr>
          <w:rFonts w:asciiTheme="minorHAnsi" w:hAnsiTheme="minorHAnsi" w:cstheme="minorHAnsi"/>
          <w:color w:val="000000"/>
          <w:sz w:val="20"/>
          <w:szCs w:val="20"/>
          <w:shd w:val="clear" w:color="auto" w:fill="FFFFFF"/>
        </w:rPr>
        <w:t>En la Universidad de Cádiz no hay personal de apoyo (P</w:t>
      </w:r>
      <w:r w:rsidR="00C455FC" w:rsidRPr="00FA7DB7">
        <w:rPr>
          <w:rFonts w:asciiTheme="minorHAnsi" w:hAnsiTheme="minorHAnsi" w:cstheme="minorHAnsi"/>
          <w:color w:val="000000"/>
          <w:sz w:val="20"/>
          <w:szCs w:val="20"/>
          <w:shd w:val="clear" w:color="auto" w:fill="FFFFFF"/>
        </w:rPr>
        <w:t>TG</w:t>
      </w:r>
      <w:r w:rsidRPr="00FA7DB7">
        <w:rPr>
          <w:rFonts w:asciiTheme="minorHAnsi" w:hAnsiTheme="minorHAnsi" w:cstheme="minorHAnsi"/>
          <w:color w:val="000000"/>
          <w:sz w:val="20"/>
          <w:szCs w:val="20"/>
          <w:shd w:val="clear" w:color="auto" w:fill="FFFFFF"/>
        </w:rPr>
        <w:t>AS) adscrito a títulos y/o centros. La RPT de la UCA estructura a su personal de administración y servicios en 6 grandes unidades funcionales (Gestión Académica, Investigación y Relaciones con las Empresas, Organización, Unidades de Apoyo a Órganos de Gobierno, Servicios a la Comunidad Universitaria y Recursos e Infraestructuras) a las que se añaden las Administraciones de Campus y otras que, por normativa, tienen una dependencia directa del Rector o de otro órgano de gobierno. El apoyo que todas estas Unidades Administrativas facilitan a los Centros y sus títulos dependerá en gran media de su misión y procesos que gestiona. En cuanto a su participación en los procedimientos de mejora del título, prácticamente todos los procedimientos de nuestro SGC son despliegue de procesos transversales de la Universidad (Planificación Docente, Movilidad, Prácticas, Orientación Profesional, Acceso, etc.) que son ejecutados por el personal de apoyo de la Universidad.</w:t>
      </w:r>
    </w:p>
    <w:p w14:paraId="0E12CC48" w14:textId="7A684F03" w:rsidR="00B40420" w:rsidRPr="00FA7DB7" w:rsidRDefault="00540021" w:rsidP="000D0108">
      <w:pPr>
        <w:pStyle w:val="Default"/>
        <w:rPr>
          <w:rFonts w:asciiTheme="minorHAnsi" w:hAnsiTheme="minorHAnsi" w:cstheme="minorHAnsi"/>
          <w:i/>
          <w:color w:val="FF0000"/>
          <w:sz w:val="20"/>
          <w:szCs w:val="20"/>
        </w:rPr>
      </w:pPr>
      <w:bookmarkStart w:id="1" w:name="_Hlk170460559"/>
      <w:r w:rsidRPr="00FA7DB7">
        <w:rPr>
          <w:rFonts w:asciiTheme="minorHAnsi" w:hAnsiTheme="minorHAnsi" w:cstheme="minorHAnsi"/>
          <w:i/>
          <w:color w:val="FF0000"/>
          <w:sz w:val="20"/>
          <w:szCs w:val="20"/>
        </w:rPr>
        <w:t>[</w:t>
      </w:r>
      <w:r w:rsidR="007772A6" w:rsidRPr="00FA7DB7">
        <w:rPr>
          <w:rFonts w:asciiTheme="minorHAnsi" w:hAnsiTheme="minorHAnsi" w:cstheme="minorHAnsi"/>
          <w:i/>
          <w:color w:val="FF0000"/>
          <w:sz w:val="20"/>
          <w:szCs w:val="20"/>
        </w:rPr>
        <w:t>I</w:t>
      </w:r>
      <w:r w:rsidR="002F5E6C" w:rsidRPr="00FA7DB7">
        <w:rPr>
          <w:rFonts w:asciiTheme="minorHAnsi" w:hAnsiTheme="minorHAnsi" w:cstheme="minorHAnsi"/>
          <w:i/>
          <w:color w:val="FF0000"/>
          <w:sz w:val="20"/>
          <w:szCs w:val="20"/>
        </w:rPr>
        <w:t xml:space="preserve">ncluir la </w:t>
      </w:r>
      <w:r w:rsidR="007772A6" w:rsidRPr="00FA7DB7">
        <w:rPr>
          <w:rFonts w:asciiTheme="minorHAnsi" w:hAnsiTheme="minorHAnsi" w:cstheme="minorHAnsi"/>
          <w:i/>
          <w:color w:val="FF0000"/>
          <w:sz w:val="20"/>
          <w:szCs w:val="20"/>
        </w:rPr>
        <w:t>t</w:t>
      </w:r>
      <w:r w:rsidR="002F5E6C" w:rsidRPr="00FA7DB7">
        <w:rPr>
          <w:rFonts w:asciiTheme="minorHAnsi" w:hAnsiTheme="minorHAnsi" w:cstheme="minorHAnsi"/>
          <w:i/>
          <w:color w:val="FF0000"/>
          <w:sz w:val="20"/>
          <w:szCs w:val="20"/>
        </w:rPr>
        <w:t>abla general del personal de apoyo</w:t>
      </w:r>
      <w:r w:rsidRPr="00FA7DB7">
        <w:rPr>
          <w:rFonts w:asciiTheme="minorHAnsi" w:hAnsiTheme="minorHAnsi" w:cstheme="minorHAnsi"/>
          <w:i/>
          <w:color w:val="FF0000"/>
          <w:sz w:val="20"/>
          <w:szCs w:val="20"/>
        </w:rPr>
        <w:t xml:space="preserve"> a </w:t>
      </w:r>
      <w:r w:rsidR="00AC3895" w:rsidRPr="00FA7DB7">
        <w:rPr>
          <w:rFonts w:asciiTheme="minorHAnsi" w:hAnsiTheme="minorHAnsi" w:cstheme="minorHAnsi"/>
          <w:i/>
          <w:color w:val="FF0000"/>
          <w:sz w:val="20"/>
          <w:szCs w:val="20"/>
        </w:rPr>
        <w:t xml:space="preserve">los </w:t>
      </w:r>
      <w:r w:rsidRPr="00FA7DB7">
        <w:rPr>
          <w:rFonts w:asciiTheme="minorHAnsi" w:hAnsiTheme="minorHAnsi" w:cstheme="minorHAnsi"/>
          <w:i/>
          <w:color w:val="FF0000"/>
          <w:sz w:val="20"/>
          <w:szCs w:val="20"/>
        </w:rPr>
        <w:t xml:space="preserve">títulos de </w:t>
      </w:r>
      <w:r w:rsidR="00F44E9A" w:rsidRPr="00FA7DB7">
        <w:rPr>
          <w:rFonts w:asciiTheme="minorHAnsi" w:hAnsiTheme="minorHAnsi" w:cstheme="minorHAnsi"/>
          <w:i/>
          <w:color w:val="FF0000"/>
          <w:sz w:val="20"/>
          <w:szCs w:val="20"/>
        </w:rPr>
        <w:t>grado y máster</w:t>
      </w:r>
      <w:r w:rsidRPr="00FA7DB7">
        <w:rPr>
          <w:rFonts w:asciiTheme="minorHAnsi" w:hAnsiTheme="minorHAnsi" w:cstheme="minorHAnsi"/>
          <w:i/>
          <w:color w:val="FF0000"/>
          <w:sz w:val="20"/>
          <w:szCs w:val="20"/>
        </w:rPr>
        <w:t>, disponible en el Campus Virtual</w:t>
      </w:r>
      <w:r w:rsidR="00954CBA" w:rsidRPr="00FA7DB7">
        <w:rPr>
          <w:rFonts w:asciiTheme="minorHAnsi" w:hAnsiTheme="minorHAnsi" w:cstheme="minorHAnsi"/>
          <w:i/>
          <w:color w:val="FF0000"/>
          <w:sz w:val="20"/>
          <w:szCs w:val="20"/>
        </w:rPr>
        <w:t>]</w:t>
      </w:r>
      <w:r w:rsidR="002F5E6C" w:rsidRPr="00FA7DB7">
        <w:rPr>
          <w:rFonts w:asciiTheme="minorHAnsi" w:hAnsiTheme="minorHAnsi" w:cstheme="minorHAnsi"/>
          <w:i/>
          <w:color w:val="FF0000"/>
          <w:sz w:val="20"/>
          <w:szCs w:val="20"/>
        </w:rPr>
        <w:t xml:space="preserve">. </w:t>
      </w:r>
    </w:p>
    <w:bookmarkEnd w:id="1"/>
    <w:p w14:paraId="373D3B96" w14:textId="77777777" w:rsidR="002F5E6C" w:rsidRPr="00FA7DB7" w:rsidRDefault="002F5E6C" w:rsidP="000D0108">
      <w:pPr>
        <w:pStyle w:val="Default"/>
        <w:rPr>
          <w:rFonts w:asciiTheme="minorHAnsi" w:hAnsiTheme="minorHAnsi" w:cstheme="minorHAnsi"/>
          <w:i/>
          <w:color w:val="FF0000"/>
          <w:sz w:val="20"/>
          <w:szCs w:val="20"/>
        </w:rPr>
      </w:pPr>
    </w:p>
    <w:p w14:paraId="20A18BFD" w14:textId="4545491E" w:rsidR="000D0108" w:rsidRPr="00FA7DB7" w:rsidRDefault="000D0108" w:rsidP="000D0108">
      <w:pPr>
        <w:pStyle w:val="Default"/>
        <w:rPr>
          <w:rFonts w:asciiTheme="minorHAnsi" w:hAnsiTheme="minorHAnsi" w:cstheme="minorHAnsi"/>
          <w:i/>
          <w:color w:val="FF0000"/>
          <w:sz w:val="20"/>
          <w:szCs w:val="20"/>
        </w:rPr>
      </w:pPr>
      <w:r w:rsidRPr="00FA7DB7">
        <w:rPr>
          <w:rFonts w:asciiTheme="minorHAnsi" w:hAnsiTheme="minorHAnsi" w:cstheme="minorHAnsi"/>
          <w:i/>
          <w:color w:val="FF0000"/>
          <w:sz w:val="20"/>
          <w:szCs w:val="20"/>
        </w:rPr>
        <w:t>[Se debe valorar si:</w:t>
      </w:r>
    </w:p>
    <w:p w14:paraId="7084381B" w14:textId="77777777" w:rsidR="000D0108" w:rsidRPr="00FA7DB7" w:rsidRDefault="000D0108" w:rsidP="000D0108">
      <w:pPr>
        <w:spacing w:after="0" w:line="240" w:lineRule="auto"/>
        <w:jc w:val="both"/>
        <w:rPr>
          <w:rFonts w:ascii="Calibri" w:hAnsi="Calibri" w:cs="Calibri"/>
        </w:rPr>
      </w:pPr>
    </w:p>
    <w:p w14:paraId="1B6963CA" w14:textId="43CF4B3D"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del personal de apoyo necesario para la realización de las actividades formativas prácticas, tanto en lo que se refiere al número como a su capacitación profesional</w:t>
      </w:r>
      <w:r w:rsidR="007772A6" w:rsidRPr="00FA7DB7">
        <w:rPr>
          <w:rFonts w:asciiTheme="minorHAnsi" w:hAnsiTheme="minorHAnsi" w:cstheme="minorHAnsi"/>
          <w:i/>
          <w:color w:val="00B0F0"/>
          <w:sz w:val="20"/>
          <w:szCs w:val="20"/>
        </w:rPr>
        <w:t>.</w:t>
      </w:r>
    </w:p>
    <w:p w14:paraId="3525F927" w14:textId="02863523"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 dispone del personal de apoyo necesario para el resto de actividades necesarias para el desarrollo del programa formativo (personal de biblioteca, puntos de información, etc.)</w:t>
      </w:r>
      <w:r w:rsidR="007772A6" w:rsidRPr="00FA7DB7">
        <w:rPr>
          <w:rFonts w:asciiTheme="minorHAnsi" w:hAnsiTheme="minorHAnsi" w:cstheme="minorHAnsi"/>
          <w:i/>
          <w:color w:val="00B0F0"/>
          <w:sz w:val="20"/>
          <w:szCs w:val="20"/>
        </w:rPr>
        <w:t>.</w:t>
      </w:r>
    </w:p>
    <w:p w14:paraId="0CD40C90" w14:textId="71B12840"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título/centro dispone del personal de administración y servicios necesario para llevar a cabo todas las tareas de administración y gestión relacionadas con el programa formativo</w:t>
      </w:r>
      <w:r w:rsidR="007772A6" w:rsidRPr="00FA7DB7">
        <w:rPr>
          <w:rFonts w:asciiTheme="minorHAnsi" w:hAnsiTheme="minorHAnsi" w:cstheme="minorHAnsi"/>
          <w:i/>
          <w:color w:val="00B0F0"/>
          <w:sz w:val="20"/>
          <w:szCs w:val="20"/>
        </w:rPr>
        <w:t>.</w:t>
      </w:r>
    </w:p>
    <w:p w14:paraId="3DF2970D"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El título/centro dispone de indicadores válidos para conocer la satisfacción del personal de administración y servicios, tanto del personal de apoyo como del de gestión, que se recogen de forma específica para el título. En el caso de que se utilicen encuestas de satisfacción, el número de respuestas obtenido es suficiente para que los resultados sean estadísticamente significativos.</w:t>
      </w:r>
    </w:p>
    <w:p w14:paraId="1E99A40B" w14:textId="77777777" w:rsidR="000D0108" w:rsidRPr="00FA7DB7" w:rsidRDefault="000D0108" w:rsidP="000D0108">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Los indicadores de satisfacción son analizados por los responsables y utilizados en el proceso de mejora de la titulación.</w:t>
      </w:r>
    </w:p>
    <w:p w14:paraId="03793BB0" w14:textId="7FC4D5FF" w:rsidR="00B90BCA" w:rsidRPr="00FA7DB7" w:rsidRDefault="00B90BCA" w:rsidP="0037518F">
      <w:pPr>
        <w:spacing w:after="0" w:line="240" w:lineRule="auto"/>
        <w:jc w:val="both"/>
        <w:rPr>
          <w:rFonts w:ascii="Calibri" w:hAnsi="Calibri" w:cs="Calibri"/>
        </w:rPr>
      </w:pPr>
    </w:p>
    <w:p w14:paraId="4290854C" w14:textId="77777777" w:rsidR="002174E7" w:rsidRPr="00FA7DB7" w:rsidRDefault="002174E7" w:rsidP="002174E7">
      <w:pPr>
        <w:pStyle w:val="AGAETexto"/>
        <w:spacing w:before="0" w:after="0" w:line="240" w:lineRule="auto"/>
        <w:rPr>
          <w:rFonts w:asciiTheme="minorHAnsi" w:hAnsiTheme="minorHAnsi" w:cstheme="minorHAnsi"/>
          <w:i/>
          <w:color w:val="00B0F0"/>
          <w:sz w:val="20"/>
          <w:szCs w:val="20"/>
          <w:u w:val="single"/>
        </w:rPr>
      </w:pPr>
      <w:r w:rsidRPr="00FA7DB7">
        <w:rPr>
          <w:rFonts w:asciiTheme="minorHAnsi" w:hAnsiTheme="minorHAnsi" w:cstheme="minorHAnsi"/>
          <w:i/>
          <w:color w:val="00B0F0"/>
          <w:sz w:val="20"/>
          <w:szCs w:val="20"/>
          <w:u w:val="single"/>
        </w:rPr>
        <w:t xml:space="preserve">Evidencias según guía ACCUA: </w:t>
      </w:r>
    </w:p>
    <w:p w14:paraId="4A4C195C" w14:textId="77777777" w:rsidR="00F93791" w:rsidRPr="00FA7DB7" w:rsidRDefault="00F93791" w:rsidP="00F937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Listado y perfil del personal de apoyo disponible para la realización de las prácticas.</w:t>
      </w:r>
    </w:p>
    <w:p w14:paraId="6475AE12" w14:textId="77777777" w:rsidR="00F93791" w:rsidRPr="00FA7DB7" w:rsidRDefault="00F93791" w:rsidP="00F937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Listado y perfil del personal disponible para el resto de actividades de apoyo para el desarrollo del programa formativo.</w:t>
      </w:r>
    </w:p>
    <w:p w14:paraId="11A3C59A" w14:textId="77777777" w:rsidR="00F93791" w:rsidRPr="00FA7DB7" w:rsidRDefault="00F93791" w:rsidP="00F937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Listado y descripción del personal de administración y gestión asignado al título/centro.</w:t>
      </w:r>
    </w:p>
    <w:p w14:paraId="52E06F59" w14:textId="77777777" w:rsidR="00F93791" w:rsidRPr="00FA7DB7" w:rsidRDefault="00F93791" w:rsidP="00F937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Indicadores de satisfacción del personal de apoyo asignado al título/centro.</w:t>
      </w:r>
    </w:p>
    <w:p w14:paraId="071C9156" w14:textId="276D61B9" w:rsidR="00F93791" w:rsidRPr="00FA7DB7" w:rsidRDefault="00F93791" w:rsidP="00F93791">
      <w:pPr>
        <w:pStyle w:val="AGAETexto"/>
        <w:numPr>
          <w:ilvl w:val="0"/>
          <w:numId w:val="16"/>
        </w:numPr>
        <w:spacing w:before="0" w:after="0" w:line="276" w:lineRule="auto"/>
        <w:rPr>
          <w:rFonts w:asciiTheme="minorHAnsi" w:hAnsiTheme="minorHAnsi" w:cstheme="minorHAnsi"/>
          <w:i/>
          <w:color w:val="00B0F0"/>
          <w:sz w:val="20"/>
          <w:szCs w:val="20"/>
        </w:rPr>
      </w:pPr>
      <w:r w:rsidRPr="00FA7DB7">
        <w:rPr>
          <w:rFonts w:asciiTheme="minorHAnsi" w:hAnsiTheme="minorHAnsi" w:cstheme="minorHAnsi"/>
          <w:i/>
          <w:color w:val="00B0F0"/>
          <w:sz w:val="20"/>
          <w:szCs w:val="20"/>
        </w:rPr>
        <w:t>Análisis realizado de los indicadores de satisfacción del personal de apoyo asignado al título/centro y acciones de mejora puestas en marcha.</w:t>
      </w:r>
    </w:p>
    <w:p w14:paraId="2A4AC7E1" w14:textId="38B4ADB7" w:rsidR="008C2EA6" w:rsidRPr="00FA7DB7" w:rsidRDefault="008C2EA6" w:rsidP="008C2EA6">
      <w:pPr>
        <w:pStyle w:val="AGAETexto"/>
        <w:spacing w:before="0" w:after="0" w:line="276" w:lineRule="auto"/>
        <w:rPr>
          <w:rFonts w:asciiTheme="minorHAnsi" w:hAnsiTheme="minorHAnsi" w:cstheme="minorHAnsi"/>
          <w:i/>
          <w:color w:val="00B0F0"/>
          <w:sz w:val="20"/>
          <w:szCs w:val="20"/>
        </w:rPr>
      </w:pPr>
    </w:p>
    <w:p w14:paraId="7F1193E2" w14:textId="77777777" w:rsidR="008C2EA6" w:rsidRPr="00FA7DB7" w:rsidRDefault="008C2EA6" w:rsidP="008C2EA6">
      <w:pPr>
        <w:pStyle w:val="AGAETexto"/>
        <w:spacing w:before="0" w:after="0" w:line="240" w:lineRule="auto"/>
        <w:rPr>
          <w:rFonts w:ascii="Source Sans Pro" w:hAnsi="Source Sans Pro" w:cs="Arial"/>
          <w:sz w:val="20"/>
          <w:szCs w:val="20"/>
          <w:u w:val="single"/>
          <w:lang w:val="es-ES_tradnl"/>
        </w:rPr>
      </w:pPr>
      <w:r w:rsidRPr="00FA7DB7">
        <w:rPr>
          <w:rFonts w:asciiTheme="minorHAnsi" w:hAnsiTheme="minorHAnsi"/>
          <w:i/>
          <w:color w:val="FF0000"/>
          <w:sz w:val="20"/>
          <w:szCs w:val="20"/>
          <w:shd w:val="clear" w:color="auto" w:fill="FFFFFF"/>
        </w:rPr>
        <w:t xml:space="preserve">[Apoyar el análisis y valoración de este criterio en el indicador del ISGC-P01-03 e ISGC-P07-04.  Anexo I de este </w:t>
      </w:r>
      <w:proofErr w:type="spellStart"/>
      <w:r w:rsidRPr="00FA7DB7">
        <w:rPr>
          <w:rFonts w:asciiTheme="minorHAnsi" w:hAnsiTheme="minorHAnsi"/>
          <w:i/>
          <w:color w:val="FF0000"/>
          <w:sz w:val="20"/>
          <w:szCs w:val="20"/>
          <w:shd w:val="clear" w:color="auto" w:fill="FFFFFF"/>
        </w:rPr>
        <w:t>Autoinforme</w:t>
      </w:r>
      <w:proofErr w:type="spellEnd"/>
      <w:r w:rsidRPr="00FA7DB7">
        <w:rPr>
          <w:rFonts w:asciiTheme="minorHAnsi" w:hAnsiTheme="minorHAnsi"/>
          <w:i/>
          <w:color w:val="FF0000"/>
          <w:sz w:val="20"/>
          <w:szCs w:val="20"/>
          <w:shd w:val="clear" w:color="auto" w:fill="FFFFFF"/>
        </w:rPr>
        <w:t>]</w:t>
      </w:r>
    </w:p>
    <w:p w14:paraId="06589915" w14:textId="77777777" w:rsidR="00A3758B" w:rsidRPr="00FA7DB7" w:rsidRDefault="00A3758B" w:rsidP="00A3758B">
      <w:pPr>
        <w:pStyle w:val="AGAETexto"/>
        <w:spacing w:before="0" w:after="0" w:line="240" w:lineRule="auto"/>
        <w:rPr>
          <w:rFonts w:asciiTheme="minorHAnsi" w:hAnsiTheme="minorHAnsi" w:cstheme="minorHAnsi"/>
          <w:i/>
          <w:color w:val="FF0000"/>
          <w:sz w:val="20"/>
          <w:szCs w:val="20"/>
          <w:shd w:val="clear" w:color="auto" w:fill="FFFFFF"/>
        </w:rPr>
      </w:pPr>
      <w:r w:rsidRPr="00FA7DB7">
        <w:rPr>
          <w:rFonts w:asciiTheme="minorHAnsi" w:hAnsiTheme="minorHAnsi" w:cstheme="minorHAnsi"/>
          <w:i/>
          <w:color w:val="FF0000"/>
          <w:sz w:val="20"/>
          <w:szCs w:val="20"/>
          <w:shd w:val="clear" w:color="auto" w:fill="FFFFFF"/>
        </w:rPr>
        <w:t>[Cuando se analicen indicadores se recomienda indicar que estos están además en el anexo 1]</w:t>
      </w:r>
    </w:p>
    <w:p w14:paraId="0679052C" w14:textId="77777777" w:rsidR="008C2EA6" w:rsidRPr="00FA7DB7" w:rsidRDefault="008C2EA6" w:rsidP="008C2EA6">
      <w:pPr>
        <w:pStyle w:val="AGAETexto"/>
        <w:spacing w:before="0" w:after="0" w:line="276" w:lineRule="auto"/>
        <w:rPr>
          <w:rFonts w:asciiTheme="minorHAnsi" w:hAnsiTheme="minorHAnsi" w:cstheme="minorHAnsi"/>
          <w:i/>
          <w:color w:val="00B0F0"/>
          <w:sz w:val="20"/>
          <w:szCs w:val="20"/>
        </w:rPr>
      </w:pPr>
    </w:p>
    <w:p w14:paraId="1C94EAF2" w14:textId="151AB65B" w:rsidR="002174E7" w:rsidRPr="00FA7DB7" w:rsidRDefault="002174E7" w:rsidP="0037518F">
      <w:pPr>
        <w:spacing w:after="0" w:line="240" w:lineRule="auto"/>
        <w:jc w:val="both"/>
        <w:rPr>
          <w:rFonts w:ascii="Calibri" w:hAnsi="Calibri" w:cs="Calibri"/>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2D4DB9" w:rsidRPr="00FA7DB7" w14:paraId="49CFAF14" w14:textId="77777777" w:rsidTr="00D01E19">
        <w:trPr>
          <w:jc w:val="center"/>
        </w:trPr>
        <w:tc>
          <w:tcPr>
            <w:tcW w:w="10060" w:type="dxa"/>
            <w:shd w:val="clear" w:color="auto" w:fill="000000" w:themeFill="text1"/>
          </w:tcPr>
          <w:p w14:paraId="3EEA9E82" w14:textId="0B642F7B" w:rsidR="002D4DB9" w:rsidRPr="00FA7DB7" w:rsidRDefault="002D4DB9" w:rsidP="00863888">
            <w:pPr>
              <w:spacing w:after="0" w:line="240" w:lineRule="auto"/>
              <w:jc w:val="both"/>
              <w:rPr>
                <w:rFonts w:asciiTheme="minorHAnsi" w:hAnsiTheme="minorHAnsi" w:cstheme="minorHAnsi"/>
                <w:b/>
                <w:i/>
                <w:color w:val="FFFFFF"/>
              </w:rPr>
            </w:pPr>
            <w:r w:rsidRPr="00FA7DB7">
              <w:rPr>
                <w:rFonts w:asciiTheme="minorHAnsi" w:hAnsiTheme="minorHAnsi" w:cstheme="minorHAnsi"/>
                <w:b/>
                <w:i/>
                <w:color w:val="FFFFFF"/>
              </w:rPr>
              <w:t xml:space="preserve">Puntos </w:t>
            </w:r>
            <w:r w:rsidR="00B40E99" w:rsidRPr="00FA7DB7">
              <w:rPr>
                <w:rFonts w:asciiTheme="minorHAnsi" w:hAnsiTheme="minorHAnsi" w:cstheme="minorHAnsi"/>
                <w:b/>
                <w:i/>
                <w:color w:val="FFFFFF"/>
              </w:rPr>
              <w:t>f</w:t>
            </w:r>
            <w:r w:rsidRPr="00FA7DB7">
              <w:rPr>
                <w:rFonts w:asciiTheme="minorHAnsi" w:hAnsiTheme="minorHAnsi" w:cstheme="minorHAnsi"/>
                <w:b/>
                <w:i/>
                <w:color w:val="FFFFFF"/>
              </w:rPr>
              <w:t>uertes y/o logros:</w:t>
            </w:r>
          </w:p>
        </w:tc>
      </w:tr>
      <w:tr w:rsidR="002D4DB9" w:rsidRPr="00FA7DB7" w14:paraId="00B1327D" w14:textId="77777777" w:rsidTr="00D01E19">
        <w:trPr>
          <w:jc w:val="center"/>
        </w:trPr>
        <w:tc>
          <w:tcPr>
            <w:tcW w:w="10060" w:type="dxa"/>
            <w:tcBorders>
              <w:bottom w:val="single" w:sz="4" w:space="0" w:color="auto"/>
            </w:tcBorders>
            <w:vAlign w:val="center"/>
          </w:tcPr>
          <w:p w14:paraId="3F7C618A" w14:textId="5ACFCBB3" w:rsidR="002D4DB9" w:rsidRPr="00FA7DB7" w:rsidRDefault="002D4DB9" w:rsidP="00863888">
            <w:pPr>
              <w:spacing w:after="0" w:line="240" w:lineRule="auto"/>
              <w:jc w:val="both"/>
              <w:rPr>
                <w:rFonts w:asciiTheme="minorHAnsi" w:hAnsiTheme="minorHAnsi"/>
                <w:i/>
                <w:color w:val="FF0000"/>
                <w:sz w:val="18"/>
                <w:szCs w:val="20"/>
              </w:rPr>
            </w:pPr>
            <w:r w:rsidRPr="00FA7DB7">
              <w:rPr>
                <w:rFonts w:asciiTheme="minorHAnsi" w:hAnsiTheme="minorHAnsi"/>
                <w:i/>
                <w:color w:val="FF0000"/>
                <w:sz w:val="18"/>
                <w:szCs w:val="20"/>
              </w:rPr>
              <w:t xml:space="preserve">[Relacione aspectos de </w:t>
            </w:r>
            <w:r w:rsidRPr="00FA7DB7">
              <w:rPr>
                <w:rFonts w:asciiTheme="minorHAnsi" w:hAnsiTheme="minorHAnsi"/>
                <w:b/>
                <w:i/>
                <w:color w:val="FF0000"/>
                <w:sz w:val="18"/>
                <w:szCs w:val="20"/>
              </w:rPr>
              <w:t>gran relevancia</w:t>
            </w:r>
            <w:r w:rsidRPr="00FA7DB7">
              <w:rPr>
                <w:rFonts w:asciiTheme="minorHAnsi" w:hAnsiTheme="minorHAnsi"/>
                <w:i/>
                <w:color w:val="FF0000"/>
                <w:sz w:val="18"/>
                <w:szCs w:val="20"/>
              </w:rPr>
              <w:t xml:space="preserve"> en relación con </w:t>
            </w:r>
            <w:r w:rsidR="00B90BCA" w:rsidRPr="00FA7DB7">
              <w:rPr>
                <w:rFonts w:asciiTheme="minorHAnsi" w:hAnsiTheme="minorHAnsi"/>
                <w:i/>
                <w:color w:val="FF0000"/>
                <w:sz w:val="18"/>
                <w:szCs w:val="18"/>
              </w:rPr>
              <w:t xml:space="preserve">los recursos y apoyo a la docencia </w:t>
            </w:r>
            <w:r w:rsidRPr="00FA7DB7">
              <w:rPr>
                <w:rFonts w:asciiTheme="minorHAnsi" w:hAnsiTheme="minorHAnsi"/>
                <w:i/>
                <w:color w:val="FF0000"/>
                <w:sz w:val="18"/>
                <w:szCs w:val="18"/>
              </w:rPr>
              <w:t xml:space="preserve">de los </w:t>
            </w:r>
            <w:r w:rsidR="00B40E99" w:rsidRPr="00FA7DB7">
              <w:rPr>
                <w:rFonts w:asciiTheme="minorHAnsi" w:hAnsiTheme="minorHAnsi"/>
                <w:i/>
                <w:color w:val="FF0000"/>
                <w:sz w:val="18"/>
                <w:szCs w:val="18"/>
              </w:rPr>
              <w:t>a</w:t>
            </w:r>
            <w:r w:rsidRPr="00FA7DB7">
              <w:rPr>
                <w:rFonts w:asciiTheme="minorHAnsi" w:hAnsiTheme="minorHAnsi"/>
                <w:i/>
                <w:color w:val="FF0000"/>
                <w:sz w:val="18"/>
                <w:szCs w:val="18"/>
              </w:rPr>
              <w:t>utoinforme</w:t>
            </w:r>
            <w:r w:rsidR="00B40E99" w:rsidRPr="00FA7DB7">
              <w:rPr>
                <w:rFonts w:asciiTheme="minorHAnsi" w:hAnsiTheme="minorHAnsi"/>
                <w:i/>
                <w:color w:val="FF0000"/>
                <w:sz w:val="18"/>
                <w:szCs w:val="18"/>
              </w:rPr>
              <w:t>s</w:t>
            </w:r>
            <w:r w:rsidRPr="00FA7DB7">
              <w:rPr>
                <w:rFonts w:asciiTheme="minorHAnsi" w:hAnsiTheme="minorHAnsi"/>
                <w:i/>
                <w:color w:val="FF0000"/>
                <w:sz w:val="18"/>
                <w:szCs w:val="18"/>
              </w:rPr>
              <w:t xml:space="preserve"> de seguimiento del título de cada curso</w:t>
            </w:r>
            <w:r w:rsidRPr="00FA7DB7">
              <w:rPr>
                <w:rFonts w:asciiTheme="minorHAnsi" w:hAnsiTheme="minorHAnsi"/>
                <w:i/>
                <w:color w:val="FF0000"/>
                <w:sz w:val="18"/>
                <w:szCs w:val="20"/>
              </w:rPr>
              <w:t>]</w:t>
            </w:r>
            <w:r w:rsidR="00B40E99" w:rsidRPr="00FA7DB7">
              <w:rPr>
                <w:rFonts w:asciiTheme="minorHAnsi" w:hAnsiTheme="minorHAnsi"/>
                <w:i/>
                <w:color w:val="FF0000"/>
                <w:sz w:val="18"/>
                <w:szCs w:val="20"/>
              </w:rPr>
              <w:t>.</w:t>
            </w:r>
          </w:p>
          <w:p w14:paraId="7CB20A7C" w14:textId="77777777" w:rsidR="002D4DB9" w:rsidRPr="00FA7DB7" w:rsidRDefault="002D4DB9" w:rsidP="00863888">
            <w:pPr>
              <w:spacing w:after="0" w:line="240" w:lineRule="auto"/>
              <w:jc w:val="both"/>
              <w:rPr>
                <w:rFonts w:asciiTheme="minorHAnsi" w:hAnsiTheme="minorHAnsi"/>
                <w:color w:val="FF0000"/>
                <w:sz w:val="18"/>
              </w:rPr>
            </w:pPr>
          </w:p>
          <w:p w14:paraId="55494389" w14:textId="5A59CF06" w:rsidR="002D4DB9" w:rsidRPr="00FA7DB7" w:rsidRDefault="002D4DB9" w:rsidP="00863888">
            <w:pPr>
              <w:spacing w:after="0" w:line="240" w:lineRule="auto"/>
              <w:jc w:val="both"/>
              <w:rPr>
                <w:rFonts w:asciiTheme="minorHAnsi" w:hAnsiTheme="minorHAnsi"/>
                <w:color w:val="FF0000"/>
                <w:sz w:val="18"/>
              </w:rPr>
            </w:pPr>
            <w:r w:rsidRPr="00FA7DB7">
              <w:rPr>
                <w:rFonts w:asciiTheme="minorHAnsi" w:hAnsiTheme="minorHAnsi"/>
                <w:color w:val="FF0000"/>
                <w:sz w:val="18"/>
              </w:rPr>
              <w:t xml:space="preserve">Con objeto de mantener una trazabilidad de los </w:t>
            </w:r>
            <w:r w:rsidR="00B40E99" w:rsidRPr="00FA7DB7">
              <w:rPr>
                <w:rFonts w:asciiTheme="minorHAnsi" w:hAnsiTheme="minorHAnsi"/>
                <w:color w:val="FF0000"/>
                <w:sz w:val="18"/>
              </w:rPr>
              <w:t>p</w:t>
            </w:r>
            <w:r w:rsidRPr="00FA7DB7">
              <w:rPr>
                <w:rFonts w:asciiTheme="minorHAnsi" w:hAnsiTheme="minorHAnsi"/>
                <w:color w:val="FF0000"/>
                <w:sz w:val="18"/>
              </w:rPr>
              <w:t xml:space="preserve">untos </w:t>
            </w:r>
            <w:r w:rsidR="00B40E99" w:rsidRPr="00FA7DB7">
              <w:rPr>
                <w:rFonts w:asciiTheme="minorHAnsi" w:hAnsiTheme="minorHAnsi"/>
                <w:color w:val="FF0000"/>
                <w:sz w:val="18"/>
              </w:rPr>
              <w:t>f</w:t>
            </w:r>
            <w:r w:rsidRPr="00FA7DB7">
              <w:rPr>
                <w:rFonts w:asciiTheme="minorHAnsi" w:hAnsiTheme="minorHAnsi"/>
                <w:color w:val="FF0000"/>
                <w:sz w:val="18"/>
              </w:rPr>
              <w:t>uertes (PF) deben situar previamente el curso del autoinforme. Un ejemplo de PF:</w:t>
            </w:r>
          </w:p>
          <w:p w14:paraId="76B0CEC9" w14:textId="77777777" w:rsidR="002D4DB9" w:rsidRPr="00FA7DB7" w:rsidRDefault="002D4DB9" w:rsidP="00863888">
            <w:pPr>
              <w:spacing w:after="0" w:line="240" w:lineRule="auto"/>
              <w:jc w:val="both"/>
              <w:rPr>
                <w:rFonts w:asciiTheme="minorHAnsi" w:hAnsiTheme="minorHAnsi"/>
                <w:color w:val="FF0000"/>
                <w:sz w:val="18"/>
              </w:rPr>
            </w:pPr>
            <w:r w:rsidRPr="00FA7DB7">
              <w:rPr>
                <w:rFonts w:asciiTheme="minorHAnsi" w:hAnsiTheme="minorHAnsi"/>
                <w:color w:val="FF0000"/>
                <w:sz w:val="18"/>
              </w:rPr>
              <w:t xml:space="preserve">- </w:t>
            </w:r>
            <w:r w:rsidRPr="00FA7DB7">
              <w:rPr>
                <w:rFonts w:asciiTheme="minorHAnsi" w:hAnsiTheme="minorHAnsi"/>
                <w:i/>
                <w:color w:val="FF0000"/>
                <w:sz w:val="18"/>
              </w:rPr>
              <w:t>20XX-XX</w:t>
            </w:r>
            <w:r w:rsidRPr="00FA7DB7">
              <w:rPr>
                <w:rFonts w:asciiTheme="minorHAnsi" w:hAnsiTheme="minorHAnsi"/>
                <w:color w:val="FF0000"/>
                <w:sz w:val="18"/>
              </w:rPr>
              <w:t>: Elevada satisfacción del alumnado en relación a los recursos y servicios del título (4,5 sobre 5).</w:t>
            </w:r>
          </w:p>
          <w:p w14:paraId="48AF1B25" w14:textId="21D45A05" w:rsidR="002D4DB9" w:rsidRPr="00FA7DB7" w:rsidRDefault="002D4DB9" w:rsidP="006027BA">
            <w:pPr>
              <w:spacing w:after="0" w:line="240" w:lineRule="auto"/>
              <w:jc w:val="both"/>
              <w:rPr>
                <w:rFonts w:asciiTheme="minorHAnsi" w:hAnsiTheme="minorHAnsi"/>
                <w:color w:val="FF0000"/>
                <w:sz w:val="18"/>
              </w:rPr>
            </w:pPr>
            <w:r w:rsidRPr="00FA7DB7">
              <w:rPr>
                <w:rFonts w:asciiTheme="minorHAnsi" w:hAnsiTheme="minorHAnsi"/>
                <w:color w:val="FF0000"/>
                <w:sz w:val="18"/>
              </w:rPr>
              <w:t xml:space="preserve">- </w:t>
            </w:r>
            <w:r w:rsidRPr="00FA7DB7">
              <w:rPr>
                <w:rFonts w:asciiTheme="minorHAnsi" w:hAnsiTheme="minorHAnsi"/>
                <w:i/>
                <w:color w:val="FF0000"/>
                <w:sz w:val="18"/>
              </w:rPr>
              <w:t>20XX-XX</w:t>
            </w:r>
            <w:r w:rsidRPr="00FA7DB7">
              <w:rPr>
                <w:rFonts w:asciiTheme="minorHAnsi" w:hAnsiTheme="minorHAnsi"/>
                <w:color w:val="FF0000"/>
                <w:sz w:val="18"/>
              </w:rPr>
              <w:t>: Tasa de graduación alcanza el objetivo de la memoria verificada (95% sobre el objetivo de 90%).</w:t>
            </w:r>
          </w:p>
        </w:tc>
      </w:tr>
    </w:tbl>
    <w:p w14:paraId="47ADD408" w14:textId="77777777" w:rsidR="002D4DB9" w:rsidRPr="00FA7DB7" w:rsidRDefault="002D4DB9" w:rsidP="002D4DB9">
      <w:pPr>
        <w:rPr>
          <w:rFonts w:asciiTheme="minorHAnsi" w:hAnsiTheme="minorHAnsi" w:cstheme="minorHAnsi"/>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6"/>
        <w:gridCol w:w="3989"/>
        <w:gridCol w:w="3281"/>
        <w:gridCol w:w="1422"/>
      </w:tblGrid>
      <w:tr w:rsidR="002D4DB9" w:rsidRPr="00FA7DB7" w14:paraId="4CAE00BC" w14:textId="77777777" w:rsidTr="00D01E19">
        <w:trPr>
          <w:trHeight w:val="255"/>
          <w:jc w:val="center"/>
        </w:trPr>
        <w:tc>
          <w:tcPr>
            <w:tcW w:w="5000" w:type="pct"/>
            <w:gridSpan w:val="4"/>
            <w:shd w:val="clear" w:color="auto" w:fill="000000" w:themeFill="text1"/>
          </w:tcPr>
          <w:p w14:paraId="72AC07A4" w14:textId="0B5804F5" w:rsidR="002D4DB9" w:rsidRPr="00FA7DB7" w:rsidRDefault="002D4DB9" w:rsidP="00863888">
            <w:pPr>
              <w:spacing w:after="0" w:line="240" w:lineRule="auto"/>
              <w:jc w:val="both"/>
              <w:rPr>
                <w:rFonts w:asciiTheme="minorHAnsi" w:hAnsiTheme="minorHAnsi" w:cstheme="minorHAnsi"/>
                <w:b/>
                <w:i/>
                <w:color w:val="FFFFFF"/>
              </w:rPr>
            </w:pPr>
            <w:r w:rsidRPr="00FA7DB7">
              <w:rPr>
                <w:rFonts w:asciiTheme="minorHAnsi" w:hAnsiTheme="minorHAnsi" w:cstheme="minorHAnsi"/>
              </w:rPr>
              <w:br w:type="page"/>
            </w:r>
            <w:r w:rsidRPr="00FA7DB7">
              <w:rPr>
                <w:rFonts w:asciiTheme="minorHAnsi" w:hAnsiTheme="minorHAnsi" w:cstheme="minorHAnsi"/>
                <w:b/>
                <w:i/>
                <w:color w:val="FFFFFF"/>
              </w:rPr>
              <w:t>Puntos débiles y decisiones de mejora adoptadas</w:t>
            </w:r>
            <w:r w:rsidR="00B40E99" w:rsidRPr="00FA7DB7">
              <w:rPr>
                <w:rFonts w:asciiTheme="minorHAnsi" w:hAnsiTheme="minorHAnsi" w:cstheme="minorHAnsi"/>
                <w:b/>
                <w:i/>
                <w:color w:val="FFFFFF"/>
              </w:rPr>
              <w:t>:</w:t>
            </w:r>
          </w:p>
        </w:tc>
      </w:tr>
      <w:tr w:rsidR="002D4DB9" w:rsidRPr="00FA7DB7" w14:paraId="122C356B" w14:textId="77777777" w:rsidTr="00D01E19">
        <w:trPr>
          <w:trHeight w:val="630"/>
          <w:jc w:val="center"/>
        </w:trPr>
        <w:tc>
          <w:tcPr>
            <w:tcW w:w="618" w:type="pct"/>
            <w:shd w:val="clear" w:color="auto" w:fill="000000" w:themeFill="text1"/>
            <w:vAlign w:val="center"/>
          </w:tcPr>
          <w:p w14:paraId="4A5F0456" w14:textId="77777777" w:rsidR="002D4DB9" w:rsidRPr="00FA7DB7" w:rsidRDefault="002D4DB9" w:rsidP="00863888">
            <w:pPr>
              <w:spacing w:after="0" w:line="240" w:lineRule="auto"/>
              <w:jc w:val="center"/>
              <w:rPr>
                <w:rFonts w:asciiTheme="minorHAnsi" w:hAnsiTheme="minorHAnsi" w:cstheme="minorHAnsi"/>
                <w:b/>
                <w:i/>
                <w:color w:val="FFFFFF"/>
                <w:sz w:val="18"/>
              </w:rPr>
            </w:pPr>
            <w:r w:rsidRPr="00FA7DB7">
              <w:rPr>
                <w:rFonts w:asciiTheme="minorHAnsi" w:hAnsiTheme="minorHAnsi" w:cstheme="minorHAnsi"/>
                <w:b/>
                <w:i/>
                <w:color w:val="FFFFFF"/>
                <w:sz w:val="18"/>
              </w:rPr>
              <w:t>Autoinforme del curso:</w:t>
            </w:r>
          </w:p>
        </w:tc>
        <w:tc>
          <w:tcPr>
            <w:tcW w:w="2011" w:type="pct"/>
            <w:tcBorders>
              <w:bottom w:val="single" w:sz="4" w:space="0" w:color="auto"/>
            </w:tcBorders>
            <w:shd w:val="clear" w:color="auto" w:fill="000000" w:themeFill="text1"/>
            <w:vAlign w:val="center"/>
          </w:tcPr>
          <w:p w14:paraId="3A36417E" w14:textId="4AC2D749" w:rsidR="002D4DB9" w:rsidRPr="00FA7DB7" w:rsidRDefault="002D4DB9" w:rsidP="00863888">
            <w:pPr>
              <w:spacing w:after="0" w:line="240" w:lineRule="auto"/>
              <w:jc w:val="center"/>
              <w:rPr>
                <w:rFonts w:asciiTheme="minorHAnsi" w:hAnsiTheme="minorHAnsi" w:cstheme="minorHAnsi"/>
                <w:b/>
                <w:i/>
                <w:color w:val="FFFFFF"/>
                <w:sz w:val="18"/>
              </w:rPr>
            </w:pPr>
            <w:r w:rsidRPr="00FA7DB7">
              <w:rPr>
                <w:rFonts w:asciiTheme="minorHAnsi" w:hAnsiTheme="minorHAnsi" w:cstheme="minorHAnsi"/>
                <w:b/>
                <w:i/>
                <w:color w:val="FFFFFF"/>
                <w:sz w:val="18"/>
              </w:rPr>
              <w:t>Puntos débiles</w:t>
            </w:r>
            <w:r w:rsidR="00B40E99" w:rsidRPr="00FA7DB7">
              <w:rPr>
                <w:rFonts w:asciiTheme="minorHAnsi" w:hAnsiTheme="minorHAnsi" w:cstheme="minorHAnsi"/>
                <w:b/>
                <w:i/>
                <w:color w:val="FFFFFF"/>
                <w:sz w:val="18"/>
              </w:rPr>
              <w:t>:</w:t>
            </w:r>
          </w:p>
        </w:tc>
        <w:tc>
          <w:tcPr>
            <w:tcW w:w="1654" w:type="pct"/>
            <w:shd w:val="clear" w:color="auto" w:fill="000000" w:themeFill="text1"/>
            <w:vAlign w:val="center"/>
          </w:tcPr>
          <w:p w14:paraId="4E7B47FA" w14:textId="77777777" w:rsidR="002D4DB9" w:rsidRPr="00FA7DB7" w:rsidRDefault="002D4DB9" w:rsidP="00863888">
            <w:pPr>
              <w:spacing w:after="0" w:line="240" w:lineRule="auto"/>
              <w:jc w:val="center"/>
              <w:rPr>
                <w:rFonts w:asciiTheme="minorHAnsi" w:hAnsiTheme="minorHAnsi" w:cstheme="minorHAnsi"/>
                <w:color w:val="FFFFFF"/>
                <w:sz w:val="18"/>
              </w:rPr>
            </w:pPr>
            <w:r w:rsidRPr="00FA7DB7">
              <w:rPr>
                <w:rFonts w:asciiTheme="minorHAnsi" w:hAnsiTheme="minorHAnsi" w:cstheme="minorHAnsi"/>
                <w:b/>
                <w:i/>
                <w:color w:val="FFFFFF"/>
                <w:sz w:val="18"/>
              </w:rPr>
              <w:t>Propuestas de mejora más relevantes:</w:t>
            </w:r>
          </w:p>
        </w:tc>
        <w:tc>
          <w:tcPr>
            <w:tcW w:w="717" w:type="pct"/>
            <w:shd w:val="clear" w:color="auto" w:fill="000000" w:themeFill="text1"/>
            <w:vAlign w:val="center"/>
          </w:tcPr>
          <w:p w14:paraId="6A852D6A" w14:textId="77777777" w:rsidR="002D4DB9" w:rsidRPr="00FA7DB7" w:rsidRDefault="002D4DB9" w:rsidP="00863888">
            <w:pPr>
              <w:spacing w:after="0" w:line="240" w:lineRule="auto"/>
              <w:jc w:val="center"/>
              <w:rPr>
                <w:rFonts w:asciiTheme="minorHAnsi" w:hAnsiTheme="minorHAnsi" w:cstheme="minorHAnsi"/>
                <w:b/>
                <w:i/>
                <w:color w:val="FFFFFF"/>
                <w:sz w:val="18"/>
              </w:rPr>
            </w:pPr>
            <w:r w:rsidRPr="00FA7DB7">
              <w:rPr>
                <w:rFonts w:asciiTheme="minorHAnsi" w:hAnsiTheme="minorHAnsi" w:cstheme="minorHAnsi"/>
                <w:b/>
                <w:i/>
                <w:color w:val="FFFFFF"/>
                <w:sz w:val="18"/>
              </w:rPr>
              <w:t>Impacto provocado en el título (relación causa-efecto):</w:t>
            </w:r>
          </w:p>
        </w:tc>
      </w:tr>
      <w:tr w:rsidR="002D4DB9" w:rsidRPr="00FA7DB7" w14:paraId="0FC478C9" w14:textId="77777777" w:rsidTr="00D01E19">
        <w:trPr>
          <w:trHeight w:val="3029"/>
          <w:jc w:val="center"/>
        </w:trPr>
        <w:tc>
          <w:tcPr>
            <w:tcW w:w="618" w:type="pct"/>
            <w:vAlign w:val="center"/>
          </w:tcPr>
          <w:p w14:paraId="450A11A7" w14:textId="77777777" w:rsidR="002D4DB9" w:rsidRPr="00FA7DB7" w:rsidRDefault="002D4DB9" w:rsidP="00863888">
            <w:pPr>
              <w:autoSpaceDE w:val="0"/>
              <w:autoSpaceDN w:val="0"/>
              <w:adjustRightInd w:val="0"/>
              <w:spacing w:after="0" w:line="240" w:lineRule="auto"/>
              <w:jc w:val="both"/>
              <w:rPr>
                <w:rFonts w:asciiTheme="minorHAnsi" w:hAnsiTheme="minorHAnsi" w:cstheme="minorHAnsi"/>
                <w:i/>
                <w:color w:val="FF0000"/>
                <w:sz w:val="18"/>
                <w:szCs w:val="18"/>
              </w:rPr>
            </w:pPr>
            <w:r w:rsidRPr="00FA7DB7">
              <w:rPr>
                <w:rFonts w:asciiTheme="minorHAnsi" w:hAnsiTheme="minorHAnsi" w:cstheme="minorHAnsi"/>
                <w:i/>
                <w:color w:val="FF0000"/>
                <w:sz w:val="18"/>
                <w:szCs w:val="18"/>
              </w:rPr>
              <w:lastRenderedPageBreak/>
              <w:t>20XX/XX</w:t>
            </w:r>
          </w:p>
        </w:tc>
        <w:tc>
          <w:tcPr>
            <w:tcW w:w="2011" w:type="pct"/>
            <w:tcBorders>
              <w:bottom w:val="nil"/>
            </w:tcBorders>
            <w:shd w:val="clear" w:color="auto" w:fill="auto"/>
          </w:tcPr>
          <w:p w14:paraId="2E540DF5" w14:textId="717354F1" w:rsidR="002D4DB9" w:rsidRPr="00FA7DB7" w:rsidRDefault="002D4DB9" w:rsidP="00863888">
            <w:pPr>
              <w:spacing w:after="0" w:line="240" w:lineRule="auto"/>
              <w:jc w:val="both"/>
              <w:rPr>
                <w:rFonts w:asciiTheme="minorHAnsi" w:hAnsiTheme="minorHAnsi"/>
                <w:i/>
                <w:color w:val="FF0000"/>
                <w:sz w:val="18"/>
              </w:rPr>
            </w:pPr>
            <w:r w:rsidRPr="00FA7DB7">
              <w:rPr>
                <w:rFonts w:asciiTheme="minorHAnsi" w:hAnsiTheme="minorHAnsi"/>
                <w:i/>
                <w:color w:val="FF0000"/>
                <w:sz w:val="18"/>
                <w:szCs w:val="20"/>
              </w:rPr>
              <w:t>Enumere aspectos o áreas que se consideraron mejorables o requirieran una e</w:t>
            </w:r>
            <w:r w:rsidR="00B90BCA" w:rsidRPr="00FA7DB7">
              <w:rPr>
                <w:rFonts w:asciiTheme="minorHAnsi" w:hAnsiTheme="minorHAnsi"/>
                <w:i/>
                <w:color w:val="FF0000"/>
                <w:sz w:val="18"/>
                <w:szCs w:val="20"/>
              </w:rPr>
              <w:t xml:space="preserve">special atención con respecto a los </w:t>
            </w:r>
            <w:r w:rsidR="00B90BCA" w:rsidRPr="00FA7DB7">
              <w:rPr>
                <w:rFonts w:asciiTheme="minorHAnsi" w:hAnsiTheme="minorHAnsi"/>
                <w:i/>
                <w:color w:val="FF0000"/>
                <w:sz w:val="18"/>
                <w:szCs w:val="18"/>
              </w:rPr>
              <w:t>recursos y apoyo a la docencia</w:t>
            </w:r>
            <w:r w:rsidRPr="00FA7DB7">
              <w:rPr>
                <w:rFonts w:asciiTheme="minorHAnsi" w:hAnsiTheme="minorHAnsi"/>
                <w:i/>
                <w:color w:val="FF0000"/>
                <w:sz w:val="18"/>
                <w:szCs w:val="20"/>
              </w:rPr>
              <w:t xml:space="preserve">. Tome como referencia los </w:t>
            </w:r>
            <w:r w:rsidR="00B40E99" w:rsidRPr="00FA7DB7">
              <w:rPr>
                <w:rFonts w:asciiTheme="minorHAnsi" w:hAnsiTheme="minorHAnsi"/>
                <w:i/>
                <w:color w:val="FF0000"/>
                <w:sz w:val="18"/>
                <w:szCs w:val="20"/>
              </w:rPr>
              <w:t>a</w:t>
            </w:r>
            <w:r w:rsidRPr="00FA7DB7">
              <w:rPr>
                <w:rFonts w:asciiTheme="minorHAnsi" w:hAnsiTheme="minorHAnsi"/>
                <w:i/>
                <w:color w:val="FF0000"/>
                <w:sz w:val="18"/>
                <w:szCs w:val="20"/>
              </w:rPr>
              <w:t>utoinformes de seguimiento del título de cada curso.</w:t>
            </w:r>
          </w:p>
          <w:p w14:paraId="69A8451F" w14:textId="77777777" w:rsidR="002D4DB9" w:rsidRPr="00FA7DB7" w:rsidRDefault="002D4DB9" w:rsidP="00863888">
            <w:pPr>
              <w:spacing w:after="0" w:line="240" w:lineRule="auto"/>
              <w:jc w:val="both"/>
              <w:rPr>
                <w:rFonts w:asciiTheme="minorHAnsi" w:hAnsiTheme="minorHAnsi"/>
                <w:i/>
                <w:color w:val="FF0000"/>
                <w:sz w:val="18"/>
              </w:rPr>
            </w:pPr>
          </w:p>
          <w:p w14:paraId="77709D49" w14:textId="3FC0834D" w:rsidR="002D4DB9" w:rsidRPr="00FA7DB7" w:rsidRDefault="002D4DB9" w:rsidP="00863888">
            <w:pPr>
              <w:spacing w:after="0" w:line="240" w:lineRule="auto"/>
              <w:jc w:val="both"/>
              <w:rPr>
                <w:rFonts w:asciiTheme="minorHAnsi" w:hAnsiTheme="minorHAnsi"/>
                <w:i/>
                <w:color w:val="FF0000"/>
                <w:sz w:val="18"/>
              </w:rPr>
            </w:pPr>
            <w:r w:rsidRPr="00FA7DB7">
              <w:rPr>
                <w:rFonts w:asciiTheme="minorHAnsi" w:hAnsiTheme="minorHAnsi"/>
                <w:i/>
                <w:color w:val="FF0000"/>
                <w:sz w:val="18"/>
              </w:rPr>
              <w:t xml:space="preserve">Con objeto de mantener una trazabilidad de los </w:t>
            </w:r>
            <w:r w:rsidR="00B40E99" w:rsidRPr="00FA7DB7">
              <w:rPr>
                <w:rFonts w:asciiTheme="minorHAnsi" w:hAnsiTheme="minorHAnsi"/>
                <w:i/>
                <w:color w:val="FF0000"/>
                <w:sz w:val="18"/>
              </w:rPr>
              <w:t>p</w:t>
            </w:r>
            <w:r w:rsidRPr="00FA7DB7">
              <w:rPr>
                <w:rFonts w:asciiTheme="minorHAnsi" w:hAnsiTheme="minorHAnsi"/>
                <w:i/>
                <w:color w:val="FF0000"/>
                <w:sz w:val="18"/>
              </w:rPr>
              <w:t xml:space="preserve">untos </w:t>
            </w:r>
            <w:r w:rsidR="00B40E99" w:rsidRPr="00FA7DB7">
              <w:rPr>
                <w:rFonts w:asciiTheme="minorHAnsi" w:hAnsiTheme="minorHAnsi"/>
                <w:i/>
                <w:color w:val="FF0000"/>
                <w:sz w:val="18"/>
              </w:rPr>
              <w:t>d</w:t>
            </w:r>
            <w:r w:rsidRPr="00FA7DB7">
              <w:rPr>
                <w:rFonts w:asciiTheme="minorHAnsi" w:hAnsiTheme="minorHAnsi"/>
                <w:i/>
                <w:color w:val="FF0000"/>
                <w:sz w:val="18"/>
              </w:rPr>
              <w:t>ébiles (PD) deben situar previamente el curso o autoinforme. Un ejemplo de PD:</w:t>
            </w:r>
          </w:p>
          <w:p w14:paraId="364EF05B" w14:textId="77777777" w:rsidR="002D4DB9" w:rsidRPr="00FA7DB7" w:rsidRDefault="002D4DB9" w:rsidP="00863888">
            <w:pPr>
              <w:spacing w:after="0" w:line="240" w:lineRule="auto"/>
              <w:jc w:val="both"/>
              <w:rPr>
                <w:rFonts w:asciiTheme="minorHAnsi" w:hAnsiTheme="minorHAnsi"/>
                <w:i/>
                <w:color w:val="FF0000"/>
                <w:sz w:val="18"/>
              </w:rPr>
            </w:pPr>
            <w:r w:rsidRPr="00FA7DB7">
              <w:rPr>
                <w:rFonts w:asciiTheme="minorHAnsi" w:hAnsiTheme="minorHAnsi"/>
                <w:i/>
                <w:color w:val="FF0000"/>
                <w:sz w:val="18"/>
              </w:rPr>
              <w:t>-20XX-XX: Baja satisfacción del alumnado en relación a la bibliografía aportada (1,5 sobre 5).</w:t>
            </w:r>
          </w:p>
          <w:p w14:paraId="0D67B033" w14:textId="77777777" w:rsidR="002D4DB9" w:rsidRPr="00FA7DB7" w:rsidRDefault="002D4DB9" w:rsidP="00863888">
            <w:pPr>
              <w:spacing w:after="0" w:line="240" w:lineRule="auto"/>
              <w:jc w:val="both"/>
              <w:rPr>
                <w:rFonts w:asciiTheme="minorHAnsi" w:hAnsiTheme="minorHAnsi"/>
                <w:i/>
                <w:color w:val="FF0000"/>
                <w:sz w:val="18"/>
              </w:rPr>
            </w:pPr>
            <w:r w:rsidRPr="00FA7DB7">
              <w:rPr>
                <w:rFonts w:asciiTheme="minorHAnsi" w:hAnsiTheme="minorHAnsi"/>
                <w:i/>
                <w:color w:val="FF0000"/>
                <w:sz w:val="18"/>
              </w:rPr>
              <w:t>- 20XX-XX: Tasa de graduación no alcanza el objetivo de la memoria verificada (70% sobre 95%).</w:t>
            </w:r>
          </w:p>
          <w:p w14:paraId="5DDF3F89" w14:textId="77777777" w:rsidR="002D4DB9" w:rsidRPr="00FA7DB7" w:rsidRDefault="002D4DB9" w:rsidP="00863888">
            <w:pPr>
              <w:autoSpaceDE w:val="0"/>
              <w:autoSpaceDN w:val="0"/>
              <w:adjustRightInd w:val="0"/>
              <w:spacing w:after="0" w:line="240" w:lineRule="auto"/>
              <w:jc w:val="both"/>
              <w:rPr>
                <w:rFonts w:asciiTheme="minorHAnsi" w:hAnsiTheme="minorHAnsi"/>
                <w:i/>
                <w:color w:val="FF0000"/>
                <w:sz w:val="18"/>
                <w:szCs w:val="18"/>
              </w:rPr>
            </w:pPr>
          </w:p>
        </w:tc>
        <w:tc>
          <w:tcPr>
            <w:tcW w:w="1654" w:type="pct"/>
            <w:vAlign w:val="center"/>
          </w:tcPr>
          <w:p w14:paraId="58954EA6" w14:textId="77777777" w:rsidR="002D4DB9" w:rsidRPr="00FA7DB7" w:rsidRDefault="002D4DB9" w:rsidP="00863888">
            <w:pPr>
              <w:autoSpaceDE w:val="0"/>
              <w:autoSpaceDN w:val="0"/>
              <w:adjustRightInd w:val="0"/>
              <w:spacing w:after="0" w:line="240" w:lineRule="auto"/>
              <w:jc w:val="both"/>
              <w:rPr>
                <w:rFonts w:asciiTheme="minorHAnsi" w:hAnsiTheme="minorHAnsi"/>
                <w:i/>
                <w:color w:val="FF0000"/>
                <w:sz w:val="18"/>
                <w:szCs w:val="18"/>
              </w:rPr>
            </w:pPr>
            <w:r w:rsidRPr="00FA7DB7">
              <w:rPr>
                <w:rFonts w:asciiTheme="minorHAnsi" w:hAnsiTheme="minorHAnsi"/>
                <w:i/>
                <w:color w:val="FF0000"/>
                <w:sz w:val="18"/>
                <w:szCs w:val="18"/>
              </w:rPr>
              <w:t>Este apartado debe alinearse con los puntos débiles detectados en el criterio del Autoinforme. Deberá indicarse, al menos, una propuesta de mejora por punto débil detectado.</w:t>
            </w:r>
          </w:p>
          <w:p w14:paraId="72F71503" w14:textId="77777777" w:rsidR="002D4DB9" w:rsidRPr="00FA7DB7" w:rsidRDefault="002D4DB9" w:rsidP="00863888">
            <w:pPr>
              <w:autoSpaceDE w:val="0"/>
              <w:autoSpaceDN w:val="0"/>
              <w:adjustRightInd w:val="0"/>
              <w:spacing w:after="0" w:line="240" w:lineRule="auto"/>
              <w:jc w:val="both"/>
              <w:rPr>
                <w:rFonts w:asciiTheme="minorHAnsi" w:hAnsiTheme="minorHAnsi"/>
                <w:i/>
                <w:color w:val="FF0000"/>
                <w:sz w:val="18"/>
                <w:szCs w:val="18"/>
              </w:rPr>
            </w:pPr>
          </w:p>
          <w:p w14:paraId="0BEE04B6" w14:textId="2184CF16" w:rsidR="002D4DB9" w:rsidRPr="00FA7DB7" w:rsidRDefault="002D4DB9" w:rsidP="00863888">
            <w:pPr>
              <w:autoSpaceDE w:val="0"/>
              <w:autoSpaceDN w:val="0"/>
              <w:adjustRightInd w:val="0"/>
              <w:spacing w:after="0" w:line="240" w:lineRule="auto"/>
              <w:jc w:val="both"/>
              <w:rPr>
                <w:rFonts w:asciiTheme="minorHAnsi" w:hAnsiTheme="minorHAnsi"/>
                <w:i/>
                <w:color w:val="FF0000"/>
                <w:sz w:val="18"/>
                <w:szCs w:val="18"/>
              </w:rPr>
            </w:pPr>
            <w:r w:rsidRPr="00FA7DB7">
              <w:rPr>
                <w:rFonts w:asciiTheme="minorHAnsi" w:hAnsiTheme="minorHAnsi"/>
                <w:i/>
                <w:color w:val="FF0000"/>
                <w:sz w:val="18"/>
                <w:szCs w:val="18"/>
              </w:rPr>
              <w:t xml:space="preserve">Se recomienda ayudarse de los </w:t>
            </w:r>
            <w:r w:rsidR="00B40E99" w:rsidRPr="00FA7DB7">
              <w:rPr>
                <w:rFonts w:asciiTheme="minorHAnsi" w:hAnsiTheme="minorHAnsi"/>
                <w:i/>
                <w:color w:val="FF0000"/>
                <w:sz w:val="18"/>
                <w:szCs w:val="18"/>
              </w:rPr>
              <w:t>a</w:t>
            </w:r>
            <w:r w:rsidRPr="00FA7DB7">
              <w:rPr>
                <w:rFonts w:asciiTheme="minorHAnsi" w:hAnsiTheme="minorHAnsi"/>
                <w:i/>
                <w:color w:val="FF0000"/>
                <w:sz w:val="18"/>
                <w:szCs w:val="18"/>
              </w:rPr>
              <w:t xml:space="preserve">utoinformes de seguimiento de cada curso. En caso de que haya alguna propuesta de mejora no ejecutada, siempre bajo la responsabilidad del </w:t>
            </w:r>
            <w:r w:rsidR="00B40E99" w:rsidRPr="00FA7DB7">
              <w:rPr>
                <w:rFonts w:asciiTheme="minorHAnsi" w:hAnsiTheme="minorHAnsi"/>
                <w:i/>
                <w:color w:val="FF0000"/>
                <w:sz w:val="18"/>
                <w:szCs w:val="18"/>
              </w:rPr>
              <w:t>c</w:t>
            </w:r>
            <w:r w:rsidRPr="00FA7DB7">
              <w:rPr>
                <w:rFonts w:asciiTheme="minorHAnsi" w:hAnsiTheme="minorHAnsi"/>
                <w:i/>
                <w:color w:val="FF0000"/>
                <w:sz w:val="18"/>
                <w:szCs w:val="18"/>
              </w:rPr>
              <w:t>entro, sería de interés justificar el por qué.</w:t>
            </w:r>
          </w:p>
          <w:p w14:paraId="45376DE5" w14:textId="77777777" w:rsidR="002D4DB9" w:rsidRPr="00FA7DB7" w:rsidRDefault="002D4DB9" w:rsidP="00863888">
            <w:pPr>
              <w:autoSpaceDE w:val="0"/>
              <w:autoSpaceDN w:val="0"/>
              <w:adjustRightInd w:val="0"/>
              <w:spacing w:after="0" w:line="240" w:lineRule="auto"/>
              <w:jc w:val="both"/>
              <w:rPr>
                <w:rFonts w:asciiTheme="minorHAnsi" w:hAnsiTheme="minorHAnsi"/>
                <w:i/>
                <w:color w:val="FF0000"/>
                <w:sz w:val="18"/>
                <w:szCs w:val="18"/>
              </w:rPr>
            </w:pPr>
          </w:p>
        </w:tc>
        <w:tc>
          <w:tcPr>
            <w:tcW w:w="717" w:type="pct"/>
            <w:vAlign w:val="center"/>
          </w:tcPr>
          <w:p w14:paraId="7A7FB15F" w14:textId="77777777" w:rsidR="002D4DB9" w:rsidRPr="00FA7DB7" w:rsidRDefault="002D4DB9" w:rsidP="00863888">
            <w:pPr>
              <w:spacing w:after="0" w:line="240" w:lineRule="auto"/>
              <w:jc w:val="both"/>
              <w:rPr>
                <w:rFonts w:asciiTheme="minorHAnsi" w:hAnsiTheme="minorHAnsi"/>
                <w:i/>
                <w:color w:val="FF0000"/>
                <w:sz w:val="18"/>
                <w:szCs w:val="18"/>
              </w:rPr>
            </w:pPr>
            <w:r w:rsidRPr="00FA7DB7">
              <w:rPr>
                <w:rFonts w:asciiTheme="minorHAnsi" w:hAnsiTheme="minorHAnsi"/>
                <w:i/>
                <w:color w:val="FF0000"/>
                <w:sz w:val="18"/>
                <w:szCs w:val="18"/>
              </w:rPr>
              <w:t>Se debe asociar el impacto a los indicadores del SGC-UCA… por ejemplo incremento de un determinado indicador…</w:t>
            </w:r>
          </w:p>
        </w:tc>
      </w:tr>
      <w:tr w:rsidR="002D4DB9" w:rsidRPr="00FA7DB7" w14:paraId="792D9DEF" w14:textId="77777777" w:rsidTr="00D01E19">
        <w:trPr>
          <w:trHeight w:val="235"/>
          <w:jc w:val="center"/>
        </w:trPr>
        <w:tc>
          <w:tcPr>
            <w:tcW w:w="618" w:type="pct"/>
            <w:vAlign w:val="center"/>
          </w:tcPr>
          <w:p w14:paraId="7F5A6074" w14:textId="77777777" w:rsidR="002D4DB9" w:rsidRPr="00FA7DB7" w:rsidRDefault="002D4DB9" w:rsidP="00863888">
            <w:pPr>
              <w:autoSpaceDE w:val="0"/>
              <w:autoSpaceDN w:val="0"/>
              <w:adjustRightInd w:val="0"/>
              <w:spacing w:after="0" w:line="240" w:lineRule="auto"/>
              <w:jc w:val="both"/>
              <w:rPr>
                <w:rFonts w:asciiTheme="minorHAnsi" w:hAnsiTheme="minorHAnsi" w:cstheme="minorHAnsi"/>
                <w:i/>
                <w:sz w:val="18"/>
                <w:szCs w:val="18"/>
              </w:rPr>
            </w:pPr>
          </w:p>
        </w:tc>
        <w:tc>
          <w:tcPr>
            <w:tcW w:w="2011" w:type="pct"/>
          </w:tcPr>
          <w:p w14:paraId="49332D23" w14:textId="77777777" w:rsidR="002D4DB9" w:rsidRPr="00FA7DB7" w:rsidRDefault="002D4DB9" w:rsidP="00863888">
            <w:pPr>
              <w:autoSpaceDE w:val="0"/>
              <w:autoSpaceDN w:val="0"/>
              <w:adjustRightInd w:val="0"/>
              <w:spacing w:after="0" w:line="240" w:lineRule="auto"/>
              <w:jc w:val="both"/>
              <w:rPr>
                <w:rFonts w:asciiTheme="minorHAnsi" w:hAnsiTheme="minorHAnsi" w:cstheme="minorHAnsi"/>
                <w:i/>
                <w:sz w:val="18"/>
                <w:szCs w:val="18"/>
              </w:rPr>
            </w:pPr>
          </w:p>
        </w:tc>
        <w:tc>
          <w:tcPr>
            <w:tcW w:w="1654" w:type="pct"/>
            <w:vAlign w:val="center"/>
          </w:tcPr>
          <w:p w14:paraId="4B57803D" w14:textId="77777777" w:rsidR="002D4DB9" w:rsidRPr="00FA7DB7" w:rsidRDefault="002D4DB9" w:rsidP="00863888">
            <w:pPr>
              <w:autoSpaceDE w:val="0"/>
              <w:autoSpaceDN w:val="0"/>
              <w:adjustRightInd w:val="0"/>
              <w:spacing w:after="0" w:line="240" w:lineRule="auto"/>
              <w:jc w:val="both"/>
              <w:rPr>
                <w:rFonts w:asciiTheme="minorHAnsi" w:hAnsiTheme="minorHAnsi" w:cstheme="minorHAnsi"/>
                <w:i/>
                <w:sz w:val="18"/>
                <w:szCs w:val="18"/>
              </w:rPr>
            </w:pPr>
          </w:p>
        </w:tc>
        <w:tc>
          <w:tcPr>
            <w:tcW w:w="717" w:type="pct"/>
            <w:vAlign w:val="center"/>
          </w:tcPr>
          <w:p w14:paraId="76DF8CE8" w14:textId="77777777" w:rsidR="002D4DB9" w:rsidRPr="00FA7DB7" w:rsidRDefault="002D4DB9" w:rsidP="00863888">
            <w:pPr>
              <w:spacing w:after="0" w:line="240" w:lineRule="auto"/>
              <w:jc w:val="both"/>
              <w:rPr>
                <w:rFonts w:asciiTheme="minorHAnsi" w:hAnsiTheme="minorHAnsi" w:cstheme="minorHAnsi"/>
                <w:i/>
                <w:sz w:val="18"/>
                <w:szCs w:val="18"/>
              </w:rPr>
            </w:pPr>
          </w:p>
        </w:tc>
      </w:tr>
    </w:tbl>
    <w:p w14:paraId="6610CB30" w14:textId="77777777" w:rsidR="002D4DB9" w:rsidRPr="00FA7DB7" w:rsidRDefault="002D4DB9" w:rsidP="002D4DB9">
      <w:pPr>
        <w:rPr>
          <w:rFonts w:asciiTheme="minorHAnsi" w:hAnsiTheme="minorHAnsi" w:cstheme="minorHAnsi"/>
          <w:sz w:val="12"/>
        </w:rPr>
      </w:pPr>
    </w:p>
    <w:tbl>
      <w:tblPr>
        <w:tblStyle w:val="Tablaconcuadrcula"/>
        <w:tblW w:w="0" w:type="auto"/>
        <w:tblLook w:val="04A0" w:firstRow="1" w:lastRow="0" w:firstColumn="1" w:lastColumn="0" w:noHBand="0" w:noVBand="1"/>
      </w:tblPr>
      <w:tblGrid>
        <w:gridCol w:w="2547"/>
        <w:gridCol w:w="7087"/>
      </w:tblGrid>
      <w:tr w:rsidR="00E776D3" w:rsidRPr="00FA7DB7" w14:paraId="0966AF76" w14:textId="77777777" w:rsidTr="008E604C">
        <w:tc>
          <w:tcPr>
            <w:tcW w:w="2547" w:type="dxa"/>
            <w:shd w:val="clear" w:color="auto" w:fill="000000" w:themeFill="text1"/>
            <w:vAlign w:val="center"/>
          </w:tcPr>
          <w:p w14:paraId="146A60F6" w14:textId="77777777" w:rsidR="00E776D3" w:rsidRPr="00FA7DB7" w:rsidRDefault="00E776D3" w:rsidP="001F6D23">
            <w:pPr>
              <w:jc w:val="center"/>
              <w:rPr>
                <w:rFonts w:asciiTheme="minorHAnsi" w:hAnsiTheme="minorHAnsi"/>
                <w:b/>
                <w:i/>
              </w:rPr>
            </w:pPr>
            <w:r w:rsidRPr="00FA7DB7">
              <w:rPr>
                <w:rFonts w:asciiTheme="minorHAnsi" w:hAnsiTheme="minorHAnsi"/>
                <w:b/>
                <w:i/>
              </w:rPr>
              <w:t>Nombre evidencia</w:t>
            </w:r>
          </w:p>
        </w:tc>
        <w:tc>
          <w:tcPr>
            <w:tcW w:w="7087" w:type="dxa"/>
            <w:tcBorders>
              <w:bottom w:val="single" w:sz="4" w:space="0" w:color="auto"/>
            </w:tcBorders>
            <w:shd w:val="clear" w:color="auto" w:fill="000000" w:themeFill="text1"/>
            <w:vAlign w:val="center"/>
          </w:tcPr>
          <w:p w14:paraId="50167A82" w14:textId="77777777" w:rsidR="00E776D3" w:rsidRPr="00FA7DB7" w:rsidRDefault="00E776D3" w:rsidP="008E604C">
            <w:pPr>
              <w:rPr>
                <w:rFonts w:asciiTheme="minorHAnsi" w:hAnsiTheme="minorHAnsi" w:cstheme="minorHAnsi"/>
                <w:b/>
                <w:i/>
                <w:sz w:val="20"/>
                <w:szCs w:val="20"/>
              </w:rPr>
            </w:pPr>
            <w:r w:rsidRPr="00FA7DB7">
              <w:rPr>
                <w:rFonts w:asciiTheme="minorHAnsi" w:hAnsiTheme="minorHAnsi" w:cstheme="minorHAnsi"/>
                <w:b/>
                <w:i/>
                <w:sz w:val="20"/>
                <w:szCs w:val="20"/>
              </w:rPr>
              <w:t>Enlace evidencia</w:t>
            </w:r>
          </w:p>
        </w:tc>
      </w:tr>
      <w:tr w:rsidR="00F8191E" w:rsidRPr="00A4306B" w14:paraId="2819DDA5" w14:textId="77777777" w:rsidTr="008E604C">
        <w:tc>
          <w:tcPr>
            <w:tcW w:w="2547" w:type="dxa"/>
            <w:vAlign w:val="center"/>
          </w:tcPr>
          <w:p w14:paraId="4365FA5D" w14:textId="78B0BF2C" w:rsidR="00F8191E" w:rsidRPr="00FA7DB7" w:rsidRDefault="00F8191E" w:rsidP="00F8191E">
            <w:pPr>
              <w:jc w:val="center"/>
              <w:rPr>
                <w:rFonts w:ascii="Calibri" w:hAnsi="Calibri"/>
                <w:sz w:val="20"/>
                <w:szCs w:val="20"/>
              </w:rPr>
            </w:pPr>
            <w:r w:rsidRPr="00FA7DB7">
              <w:rPr>
                <w:rFonts w:ascii="Calibri" w:hAnsi="Calibri"/>
                <w:sz w:val="20"/>
                <w:szCs w:val="20"/>
              </w:rPr>
              <w:t>Listado del personal de apoyo</w:t>
            </w:r>
          </w:p>
        </w:tc>
        <w:tc>
          <w:tcPr>
            <w:tcW w:w="7087" w:type="dxa"/>
            <w:shd w:val="clear" w:color="auto" w:fill="auto"/>
            <w:vAlign w:val="center"/>
          </w:tcPr>
          <w:p w14:paraId="7745EBE2" w14:textId="48F20DAF" w:rsidR="00F8191E" w:rsidRPr="00FA7DB7" w:rsidRDefault="00F8191E" w:rsidP="00F8191E">
            <w:pPr>
              <w:jc w:val="both"/>
              <w:rPr>
                <w:rFonts w:asciiTheme="minorHAnsi" w:hAnsiTheme="minorHAnsi" w:cstheme="minorHAnsi"/>
                <w:color w:val="0070C0"/>
                <w:sz w:val="18"/>
                <w:szCs w:val="18"/>
                <w:u w:val="single"/>
              </w:rPr>
            </w:pPr>
            <w:r w:rsidRPr="00FA7DB7">
              <w:rPr>
                <w:rFonts w:asciiTheme="minorHAnsi" w:hAnsiTheme="minorHAnsi" w:cstheme="minorHAnsi"/>
                <w:sz w:val="18"/>
                <w:szCs w:val="18"/>
              </w:rPr>
              <w:t>Enlace al Colabora</w:t>
            </w:r>
            <w:r w:rsidRPr="00FA7DB7">
              <w:rPr>
                <w:rFonts w:asciiTheme="minorHAnsi" w:hAnsiTheme="minorHAnsi" w:cstheme="minorHAnsi"/>
                <w:color w:val="0070C0"/>
                <w:sz w:val="18"/>
                <w:szCs w:val="18"/>
              </w:rPr>
              <w:t xml:space="preserve">: </w:t>
            </w:r>
            <w:r w:rsidRPr="00FA7DB7">
              <w:rPr>
                <w:rFonts w:asciiTheme="minorHAnsi" w:hAnsiTheme="minorHAnsi" w:cstheme="minorHAnsi"/>
                <w:color w:val="FF0000"/>
                <w:sz w:val="20"/>
                <w:szCs w:val="20"/>
              </w:rPr>
              <w:t>XXXXXXXX</w:t>
            </w:r>
          </w:p>
          <w:p w14:paraId="507735E3" w14:textId="77777777" w:rsidR="00F8191E" w:rsidRPr="00FA7DB7" w:rsidRDefault="00F8191E" w:rsidP="00F8191E">
            <w:pPr>
              <w:jc w:val="both"/>
              <w:rPr>
                <w:rFonts w:asciiTheme="minorHAnsi" w:hAnsiTheme="minorHAnsi" w:cstheme="minorHAnsi"/>
                <w:color w:val="000000"/>
                <w:sz w:val="18"/>
                <w:szCs w:val="18"/>
              </w:rPr>
            </w:pPr>
          </w:p>
          <w:p w14:paraId="085B17D1" w14:textId="77777777" w:rsidR="00F8191E" w:rsidRPr="00FA7DB7" w:rsidRDefault="00F8191E" w:rsidP="00F8191E">
            <w:pPr>
              <w:jc w:val="both"/>
              <w:rPr>
                <w:rFonts w:asciiTheme="minorHAnsi" w:hAnsiTheme="minorHAnsi" w:cstheme="minorHAnsi"/>
                <w:color w:val="000000"/>
                <w:sz w:val="18"/>
                <w:szCs w:val="18"/>
              </w:rPr>
            </w:pPr>
            <w:r w:rsidRPr="00FA7DB7">
              <w:rPr>
                <w:rFonts w:asciiTheme="minorHAnsi" w:hAnsiTheme="minorHAnsi" w:cstheme="minorHAnsi"/>
                <w:color w:val="000000"/>
                <w:sz w:val="18"/>
                <w:szCs w:val="18"/>
              </w:rPr>
              <w:t xml:space="preserve">Ruta: </w:t>
            </w:r>
            <w:r w:rsidRPr="00FA7DB7">
              <w:rPr>
                <w:rFonts w:asciiTheme="minorHAnsi" w:hAnsiTheme="minorHAnsi" w:cstheme="minorHAnsi"/>
                <w:color w:val="FF0000"/>
                <w:sz w:val="20"/>
                <w:szCs w:val="20"/>
              </w:rPr>
              <w:t>XXXXXXXX</w:t>
            </w:r>
          </w:p>
          <w:p w14:paraId="29AD51F1" w14:textId="77777777" w:rsidR="00F8191E" w:rsidRPr="00FA7DB7" w:rsidRDefault="00F8191E" w:rsidP="00F8191E">
            <w:pPr>
              <w:jc w:val="both"/>
              <w:rPr>
                <w:rFonts w:asciiTheme="minorHAnsi" w:hAnsiTheme="minorHAnsi" w:cstheme="minorHAnsi"/>
                <w:color w:val="000000"/>
                <w:sz w:val="18"/>
                <w:szCs w:val="18"/>
              </w:rPr>
            </w:pPr>
          </w:p>
          <w:p w14:paraId="792D5A0C" w14:textId="77777777" w:rsidR="00F8191E" w:rsidRPr="00FA7DB7" w:rsidRDefault="00F8191E" w:rsidP="00F8191E">
            <w:pPr>
              <w:jc w:val="both"/>
              <w:rPr>
                <w:rFonts w:asciiTheme="minorHAnsi" w:hAnsiTheme="minorHAnsi" w:cstheme="minorHAnsi"/>
                <w:color w:val="000000"/>
                <w:sz w:val="20"/>
                <w:szCs w:val="20"/>
              </w:rPr>
            </w:pPr>
            <w:r w:rsidRPr="00FA7DB7">
              <w:rPr>
                <w:rFonts w:asciiTheme="minorHAnsi" w:hAnsiTheme="minorHAnsi" w:cstheme="minorHAnsi"/>
                <w:sz w:val="18"/>
                <w:szCs w:val="18"/>
              </w:rPr>
              <w:t>Usuario</w:t>
            </w:r>
            <w:r w:rsidRPr="00FA7DB7">
              <w:rPr>
                <w:rFonts w:asciiTheme="minorHAnsi" w:hAnsiTheme="minorHAnsi" w:cstheme="minorHAnsi"/>
                <w:sz w:val="20"/>
                <w:szCs w:val="20"/>
              </w:rPr>
              <w:t xml:space="preserve">: </w:t>
            </w:r>
            <w:r w:rsidRPr="00FA7DB7">
              <w:rPr>
                <w:rFonts w:asciiTheme="minorHAnsi" w:hAnsiTheme="minorHAnsi" w:cstheme="minorHAnsi"/>
                <w:color w:val="FF0000"/>
                <w:sz w:val="20"/>
                <w:szCs w:val="20"/>
              </w:rPr>
              <w:t>XXXXXXXXX</w:t>
            </w:r>
          </w:p>
          <w:p w14:paraId="3A4299FA" w14:textId="5BE473D8" w:rsidR="00F8191E" w:rsidRPr="008E604C" w:rsidRDefault="00F8191E" w:rsidP="00F8191E">
            <w:pPr>
              <w:rPr>
                <w:rFonts w:ascii="Calibri" w:hAnsi="Calibri"/>
                <w:sz w:val="20"/>
                <w:szCs w:val="20"/>
              </w:rPr>
            </w:pPr>
            <w:r w:rsidRPr="00FA7DB7">
              <w:rPr>
                <w:rFonts w:asciiTheme="minorHAnsi" w:hAnsiTheme="minorHAnsi" w:cstheme="minorHAnsi"/>
                <w:sz w:val="20"/>
                <w:szCs w:val="20"/>
              </w:rPr>
              <w:t xml:space="preserve">Clave: </w:t>
            </w:r>
            <w:r w:rsidRPr="00FA7DB7">
              <w:rPr>
                <w:rFonts w:asciiTheme="minorHAnsi" w:hAnsiTheme="minorHAnsi" w:cstheme="minorHAnsi"/>
                <w:color w:val="FF0000"/>
                <w:sz w:val="20"/>
                <w:szCs w:val="20"/>
              </w:rPr>
              <w:t>XXXXXXXX</w:t>
            </w:r>
            <w:bookmarkStart w:id="2" w:name="_GoBack"/>
            <w:bookmarkEnd w:id="2"/>
          </w:p>
        </w:tc>
      </w:tr>
    </w:tbl>
    <w:p w14:paraId="1B82DC76" w14:textId="71D778D2" w:rsidR="007425B7" w:rsidRDefault="007425B7" w:rsidP="00193EA8"/>
    <w:sectPr w:rsidR="007425B7" w:rsidSect="006B2B8A">
      <w:footerReference w:type="default" r:id="rId12"/>
      <w:pgSz w:w="11906" w:h="16838"/>
      <w:pgMar w:top="709"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79E2A" w14:textId="77777777" w:rsidR="008B118D" w:rsidRDefault="008B118D" w:rsidP="00B517AA">
      <w:pPr>
        <w:spacing w:after="0" w:line="240" w:lineRule="auto"/>
      </w:pPr>
      <w:r>
        <w:separator/>
      </w:r>
    </w:p>
  </w:endnote>
  <w:endnote w:type="continuationSeparator" w:id="0">
    <w:p w14:paraId="516E0FB2" w14:textId="77777777" w:rsidR="008B118D" w:rsidRDefault="008B118D" w:rsidP="00B5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98172"/>
      <w:docPartObj>
        <w:docPartGallery w:val="Page Numbers (Bottom of Page)"/>
        <w:docPartUnique/>
      </w:docPartObj>
    </w:sdtPr>
    <w:sdtEndPr/>
    <w:sdtContent>
      <w:p w14:paraId="5AE3096D" w14:textId="1255EC0A" w:rsidR="00B83890" w:rsidRDefault="00B83890">
        <w:pPr>
          <w:pStyle w:val="Piedepgina"/>
          <w:jc w:val="right"/>
        </w:pPr>
        <w:r>
          <w:fldChar w:fldCharType="begin"/>
        </w:r>
        <w:r>
          <w:instrText>PAGE   \* MERGEFORMAT</w:instrText>
        </w:r>
        <w:r>
          <w:fldChar w:fldCharType="separate"/>
        </w:r>
        <w:r w:rsidR="00FA7DB7">
          <w:rPr>
            <w:noProof/>
          </w:rPr>
          <w:t>6</w:t>
        </w:r>
        <w:r>
          <w:rPr>
            <w:noProof/>
          </w:rPr>
          <w:fldChar w:fldCharType="end"/>
        </w:r>
      </w:p>
    </w:sdtContent>
  </w:sdt>
  <w:p w14:paraId="52ED78C5" w14:textId="77777777" w:rsidR="00B83890" w:rsidRDefault="00B838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8502" w14:textId="77777777" w:rsidR="008B118D" w:rsidRDefault="008B118D" w:rsidP="00B517AA">
      <w:pPr>
        <w:spacing w:after="0" w:line="240" w:lineRule="auto"/>
      </w:pPr>
      <w:r>
        <w:separator/>
      </w:r>
    </w:p>
  </w:footnote>
  <w:footnote w:type="continuationSeparator" w:id="0">
    <w:p w14:paraId="60E08D7C" w14:textId="77777777" w:rsidR="008B118D" w:rsidRDefault="008B118D" w:rsidP="00B51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F8E2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854C7"/>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061A3E"/>
    <w:multiLevelType w:val="hybridMultilevel"/>
    <w:tmpl w:val="EB8885B8"/>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4597E20"/>
    <w:multiLevelType w:val="hybridMultilevel"/>
    <w:tmpl w:val="BE507D3C"/>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4A0194B"/>
    <w:multiLevelType w:val="hybridMultilevel"/>
    <w:tmpl w:val="11728F50"/>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76132DA"/>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FB454A"/>
    <w:multiLevelType w:val="hybridMultilevel"/>
    <w:tmpl w:val="F522A7BA"/>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1A36086"/>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B034DF"/>
    <w:multiLevelType w:val="multilevel"/>
    <w:tmpl w:val="85DA9944"/>
    <w:lvl w:ilvl="0">
      <w:start w:val="1"/>
      <w:numFmt w:val="decimal"/>
      <w:lvlText w:val="%1."/>
      <w:lvlJc w:val="left"/>
      <w:pPr>
        <w:ind w:left="360" w:hanging="360"/>
      </w:pPr>
    </w:lvl>
    <w:lvl w:ilvl="1">
      <w:start w:val="10"/>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2778FE"/>
    <w:multiLevelType w:val="hybridMultilevel"/>
    <w:tmpl w:val="BA944606"/>
    <w:lvl w:ilvl="0" w:tplc="1C0A1EE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353885"/>
    <w:multiLevelType w:val="hybridMultilevel"/>
    <w:tmpl w:val="029089E8"/>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401622C"/>
    <w:multiLevelType w:val="hybridMultilevel"/>
    <w:tmpl w:val="D80A96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9584474"/>
    <w:multiLevelType w:val="multilevel"/>
    <w:tmpl w:val="CED20E6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4F6228" w:themeColor="accent3" w:themeShade="80"/>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3" w15:restartNumberingAfterBreak="0">
    <w:nsid w:val="2D3D3A14"/>
    <w:multiLevelType w:val="multilevel"/>
    <w:tmpl w:val="CED20E6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4F6228" w:themeColor="accent3" w:themeShade="80"/>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35AE1C43"/>
    <w:multiLevelType w:val="hybridMultilevel"/>
    <w:tmpl w:val="EDBA81F8"/>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F42335"/>
    <w:multiLevelType w:val="hybridMultilevel"/>
    <w:tmpl w:val="CA3602EA"/>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9F5236"/>
    <w:multiLevelType w:val="hybridMultilevel"/>
    <w:tmpl w:val="64AC8A9E"/>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9EF2AF9"/>
    <w:multiLevelType w:val="multilevel"/>
    <w:tmpl w:val="F5D8E1D2"/>
    <w:lvl w:ilvl="0">
      <w:start w:val="2"/>
      <w:numFmt w:val="bullet"/>
      <w:lvlText w:val="-"/>
      <w:lvlJc w:val="left"/>
      <w:pPr>
        <w:ind w:left="360" w:hanging="360"/>
      </w:pPr>
      <w:rPr>
        <w:rFonts w:ascii="Calibri" w:eastAsia="Times New Roman" w:hAnsi="Calibri" w:hint="default"/>
        <w:color w:val="00B0F0"/>
      </w:rPr>
    </w:lvl>
    <w:lvl w:ilvl="1">
      <w:start w:val="1"/>
      <w:numFmt w:val="decimal"/>
      <w:isLgl/>
      <w:lvlText w:val="%1.%2"/>
      <w:lvlJc w:val="left"/>
      <w:pPr>
        <w:ind w:left="786" w:hanging="360"/>
      </w:pPr>
      <w:rPr>
        <w:rFonts w:hint="default"/>
        <w:color w:val="4F6228" w:themeColor="accent3" w:themeShade="80"/>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8" w15:restartNumberingAfterBreak="0">
    <w:nsid w:val="4C686DC6"/>
    <w:multiLevelType w:val="hybridMultilevel"/>
    <w:tmpl w:val="077C5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934F5"/>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B14B8C"/>
    <w:multiLevelType w:val="hybridMultilevel"/>
    <w:tmpl w:val="3078D900"/>
    <w:lvl w:ilvl="0" w:tplc="A29A8E3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B45140"/>
    <w:multiLevelType w:val="hybridMultilevel"/>
    <w:tmpl w:val="7E120A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5A8E3B33"/>
    <w:multiLevelType w:val="hybridMultilevel"/>
    <w:tmpl w:val="B0EA8034"/>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08634A"/>
    <w:multiLevelType w:val="hybridMultilevel"/>
    <w:tmpl w:val="9826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A3E0D88"/>
    <w:multiLevelType w:val="hybridMultilevel"/>
    <w:tmpl w:val="90C6631A"/>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CBD6EB4"/>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5D312F"/>
    <w:multiLevelType w:val="hybridMultilevel"/>
    <w:tmpl w:val="1A987B8A"/>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F3C03B8"/>
    <w:multiLevelType w:val="multilevel"/>
    <w:tmpl w:val="CED20E6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4F6228" w:themeColor="accent3" w:themeShade="80"/>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num w:numId="1">
    <w:abstractNumId w:val="20"/>
  </w:num>
  <w:num w:numId="2">
    <w:abstractNumId w:val="11"/>
  </w:num>
  <w:num w:numId="3">
    <w:abstractNumId w:val="21"/>
  </w:num>
  <w:num w:numId="4">
    <w:abstractNumId w:val="1"/>
  </w:num>
  <w:num w:numId="5">
    <w:abstractNumId w:val="25"/>
  </w:num>
  <w:num w:numId="6">
    <w:abstractNumId w:val="19"/>
  </w:num>
  <w:num w:numId="7">
    <w:abstractNumId w:val="5"/>
  </w:num>
  <w:num w:numId="8">
    <w:abstractNumId w:val="7"/>
  </w:num>
  <w:num w:numId="9">
    <w:abstractNumId w:val="18"/>
  </w:num>
  <w:num w:numId="10">
    <w:abstractNumId w:val="0"/>
  </w:num>
  <w:num w:numId="11">
    <w:abstractNumId w:val="23"/>
  </w:num>
  <w:num w:numId="12">
    <w:abstractNumId w:val="9"/>
  </w:num>
  <w:num w:numId="13">
    <w:abstractNumId w:val="22"/>
  </w:num>
  <w:num w:numId="14">
    <w:abstractNumId w:val="12"/>
  </w:num>
  <w:num w:numId="15">
    <w:abstractNumId w:val="27"/>
  </w:num>
  <w:num w:numId="16">
    <w:abstractNumId w:val="17"/>
  </w:num>
  <w:num w:numId="17">
    <w:abstractNumId w:val="10"/>
  </w:num>
  <w:num w:numId="18">
    <w:abstractNumId w:val="14"/>
  </w:num>
  <w:num w:numId="19">
    <w:abstractNumId w:val="15"/>
  </w:num>
  <w:num w:numId="20">
    <w:abstractNumId w:val="24"/>
  </w:num>
  <w:num w:numId="21">
    <w:abstractNumId w:val="26"/>
  </w:num>
  <w:num w:numId="22">
    <w:abstractNumId w:val="16"/>
  </w:num>
  <w:num w:numId="23">
    <w:abstractNumId w:val="13"/>
  </w:num>
  <w:num w:numId="24">
    <w:abstractNumId w:val="4"/>
  </w:num>
  <w:num w:numId="25">
    <w:abstractNumId w:val="3"/>
  </w:num>
  <w:num w:numId="26">
    <w:abstractNumId w:val="8"/>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72"/>
    <w:rsid w:val="000047FD"/>
    <w:rsid w:val="00006171"/>
    <w:rsid w:val="00021312"/>
    <w:rsid w:val="00032769"/>
    <w:rsid w:val="00033F98"/>
    <w:rsid w:val="000346E6"/>
    <w:rsid w:val="00040AEC"/>
    <w:rsid w:val="00041047"/>
    <w:rsid w:val="00052923"/>
    <w:rsid w:val="000632C1"/>
    <w:rsid w:val="00066B05"/>
    <w:rsid w:val="00072C29"/>
    <w:rsid w:val="00075193"/>
    <w:rsid w:val="00075F43"/>
    <w:rsid w:val="0007622A"/>
    <w:rsid w:val="00076B2E"/>
    <w:rsid w:val="00077D24"/>
    <w:rsid w:val="000823D0"/>
    <w:rsid w:val="00084E7A"/>
    <w:rsid w:val="000854CA"/>
    <w:rsid w:val="00085E6B"/>
    <w:rsid w:val="000A05AC"/>
    <w:rsid w:val="000A4A51"/>
    <w:rsid w:val="000A5805"/>
    <w:rsid w:val="000B1E9D"/>
    <w:rsid w:val="000C2D9E"/>
    <w:rsid w:val="000C4A48"/>
    <w:rsid w:val="000C7404"/>
    <w:rsid w:val="000C7A43"/>
    <w:rsid w:val="000D0108"/>
    <w:rsid w:val="00100594"/>
    <w:rsid w:val="00103A53"/>
    <w:rsid w:val="00112943"/>
    <w:rsid w:val="001145AB"/>
    <w:rsid w:val="001158FC"/>
    <w:rsid w:val="0012229D"/>
    <w:rsid w:val="001225F5"/>
    <w:rsid w:val="00123DD7"/>
    <w:rsid w:val="00125C0C"/>
    <w:rsid w:val="00136D11"/>
    <w:rsid w:val="00154C23"/>
    <w:rsid w:val="001604E8"/>
    <w:rsid w:val="001716CD"/>
    <w:rsid w:val="0017478F"/>
    <w:rsid w:val="00181CBA"/>
    <w:rsid w:val="00191A6C"/>
    <w:rsid w:val="00193EA8"/>
    <w:rsid w:val="001A60FF"/>
    <w:rsid w:val="001A78EE"/>
    <w:rsid w:val="001C197B"/>
    <w:rsid w:val="001C2A22"/>
    <w:rsid w:val="001C7DC6"/>
    <w:rsid w:val="001D0D56"/>
    <w:rsid w:val="001D17BE"/>
    <w:rsid w:val="001D1AD8"/>
    <w:rsid w:val="001D3A08"/>
    <w:rsid w:val="001D7FAC"/>
    <w:rsid w:val="001E73D8"/>
    <w:rsid w:val="001F1B55"/>
    <w:rsid w:val="001F334E"/>
    <w:rsid w:val="001F576C"/>
    <w:rsid w:val="001F6B51"/>
    <w:rsid w:val="0020321F"/>
    <w:rsid w:val="00210E1B"/>
    <w:rsid w:val="002127AA"/>
    <w:rsid w:val="0021441F"/>
    <w:rsid w:val="002174E7"/>
    <w:rsid w:val="002212A2"/>
    <w:rsid w:val="00221BDB"/>
    <w:rsid w:val="00222D72"/>
    <w:rsid w:val="0023045D"/>
    <w:rsid w:val="00230494"/>
    <w:rsid w:val="002305F0"/>
    <w:rsid w:val="002311A8"/>
    <w:rsid w:val="00242AF5"/>
    <w:rsid w:val="0026421D"/>
    <w:rsid w:val="0027097F"/>
    <w:rsid w:val="00274C11"/>
    <w:rsid w:val="0027519D"/>
    <w:rsid w:val="002807D0"/>
    <w:rsid w:val="00283F94"/>
    <w:rsid w:val="00286C35"/>
    <w:rsid w:val="002A5954"/>
    <w:rsid w:val="002B46A2"/>
    <w:rsid w:val="002B5BC8"/>
    <w:rsid w:val="002C3BCA"/>
    <w:rsid w:val="002C6D3B"/>
    <w:rsid w:val="002D2B3F"/>
    <w:rsid w:val="002D4DB9"/>
    <w:rsid w:val="002E11C9"/>
    <w:rsid w:val="002F5E6C"/>
    <w:rsid w:val="002F6AC5"/>
    <w:rsid w:val="003057A8"/>
    <w:rsid w:val="00306E1C"/>
    <w:rsid w:val="0031350A"/>
    <w:rsid w:val="003316C7"/>
    <w:rsid w:val="00341DCB"/>
    <w:rsid w:val="00342D24"/>
    <w:rsid w:val="0034506E"/>
    <w:rsid w:val="0035096A"/>
    <w:rsid w:val="003567D7"/>
    <w:rsid w:val="00360152"/>
    <w:rsid w:val="00370EB8"/>
    <w:rsid w:val="00374224"/>
    <w:rsid w:val="0037441B"/>
    <w:rsid w:val="0037518F"/>
    <w:rsid w:val="00375453"/>
    <w:rsid w:val="00375806"/>
    <w:rsid w:val="00376C67"/>
    <w:rsid w:val="003800D1"/>
    <w:rsid w:val="00380CB2"/>
    <w:rsid w:val="00386161"/>
    <w:rsid w:val="00386206"/>
    <w:rsid w:val="00397165"/>
    <w:rsid w:val="003A5D55"/>
    <w:rsid w:val="003A5F08"/>
    <w:rsid w:val="003A7C5F"/>
    <w:rsid w:val="003B4CCB"/>
    <w:rsid w:val="003C0E69"/>
    <w:rsid w:val="003C16DA"/>
    <w:rsid w:val="003C47FF"/>
    <w:rsid w:val="003C5D73"/>
    <w:rsid w:val="003D0D78"/>
    <w:rsid w:val="003D1106"/>
    <w:rsid w:val="003D15A5"/>
    <w:rsid w:val="003D796E"/>
    <w:rsid w:val="003E12C9"/>
    <w:rsid w:val="003E1B7F"/>
    <w:rsid w:val="003F0E75"/>
    <w:rsid w:val="00401666"/>
    <w:rsid w:val="00404BD2"/>
    <w:rsid w:val="00405BAF"/>
    <w:rsid w:val="00412F13"/>
    <w:rsid w:val="00413537"/>
    <w:rsid w:val="00416239"/>
    <w:rsid w:val="00420E80"/>
    <w:rsid w:val="0042451A"/>
    <w:rsid w:val="00433D2A"/>
    <w:rsid w:val="00442089"/>
    <w:rsid w:val="00445FFE"/>
    <w:rsid w:val="004547BE"/>
    <w:rsid w:val="004759FD"/>
    <w:rsid w:val="00483333"/>
    <w:rsid w:val="004848E5"/>
    <w:rsid w:val="0048540B"/>
    <w:rsid w:val="00487033"/>
    <w:rsid w:val="004A2E9D"/>
    <w:rsid w:val="004A35DA"/>
    <w:rsid w:val="004B5FA7"/>
    <w:rsid w:val="004C2869"/>
    <w:rsid w:val="004E19A1"/>
    <w:rsid w:val="004E53CF"/>
    <w:rsid w:val="004F4195"/>
    <w:rsid w:val="004F58AD"/>
    <w:rsid w:val="00506449"/>
    <w:rsid w:val="00517931"/>
    <w:rsid w:val="00530193"/>
    <w:rsid w:val="00540021"/>
    <w:rsid w:val="00543342"/>
    <w:rsid w:val="00547E5D"/>
    <w:rsid w:val="00560E3A"/>
    <w:rsid w:val="0056357A"/>
    <w:rsid w:val="0056725C"/>
    <w:rsid w:val="005725E5"/>
    <w:rsid w:val="00572AEF"/>
    <w:rsid w:val="00573D32"/>
    <w:rsid w:val="0057473D"/>
    <w:rsid w:val="00577258"/>
    <w:rsid w:val="005819CA"/>
    <w:rsid w:val="00585F84"/>
    <w:rsid w:val="00590817"/>
    <w:rsid w:val="00591D58"/>
    <w:rsid w:val="00596144"/>
    <w:rsid w:val="005A2347"/>
    <w:rsid w:val="005A3FCF"/>
    <w:rsid w:val="005B30C6"/>
    <w:rsid w:val="005B4877"/>
    <w:rsid w:val="005B50B2"/>
    <w:rsid w:val="005B6AD9"/>
    <w:rsid w:val="005B6B2B"/>
    <w:rsid w:val="005C1D72"/>
    <w:rsid w:val="005D18FE"/>
    <w:rsid w:val="005D6899"/>
    <w:rsid w:val="005E1121"/>
    <w:rsid w:val="005E40D2"/>
    <w:rsid w:val="005F703C"/>
    <w:rsid w:val="006027BA"/>
    <w:rsid w:val="00602D28"/>
    <w:rsid w:val="00625F4E"/>
    <w:rsid w:val="006467F0"/>
    <w:rsid w:val="006601C6"/>
    <w:rsid w:val="00664616"/>
    <w:rsid w:val="00671D2C"/>
    <w:rsid w:val="00673AA0"/>
    <w:rsid w:val="00676083"/>
    <w:rsid w:val="00685C94"/>
    <w:rsid w:val="0069171E"/>
    <w:rsid w:val="006B2B8A"/>
    <w:rsid w:val="006B4B7E"/>
    <w:rsid w:val="006C3B13"/>
    <w:rsid w:val="006D0866"/>
    <w:rsid w:val="006D095F"/>
    <w:rsid w:val="006D274D"/>
    <w:rsid w:val="006D3005"/>
    <w:rsid w:val="006D5E9D"/>
    <w:rsid w:val="006E6865"/>
    <w:rsid w:val="006F24B9"/>
    <w:rsid w:val="006F4288"/>
    <w:rsid w:val="006F5ABD"/>
    <w:rsid w:val="00701D33"/>
    <w:rsid w:val="007062A6"/>
    <w:rsid w:val="007139A0"/>
    <w:rsid w:val="00717DFB"/>
    <w:rsid w:val="007213C7"/>
    <w:rsid w:val="00724276"/>
    <w:rsid w:val="0072526F"/>
    <w:rsid w:val="00727601"/>
    <w:rsid w:val="00727A48"/>
    <w:rsid w:val="007324FC"/>
    <w:rsid w:val="00734A9F"/>
    <w:rsid w:val="007420C3"/>
    <w:rsid w:val="007425B7"/>
    <w:rsid w:val="0076138F"/>
    <w:rsid w:val="0076453F"/>
    <w:rsid w:val="00764AA5"/>
    <w:rsid w:val="00765252"/>
    <w:rsid w:val="007732DA"/>
    <w:rsid w:val="0077694C"/>
    <w:rsid w:val="007772A6"/>
    <w:rsid w:val="007908ED"/>
    <w:rsid w:val="00790A48"/>
    <w:rsid w:val="0079562B"/>
    <w:rsid w:val="007A1142"/>
    <w:rsid w:val="007A1EA0"/>
    <w:rsid w:val="007A4655"/>
    <w:rsid w:val="007A796A"/>
    <w:rsid w:val="007B39EB"/>
    <w:rsid w:val="007C57D8"/>
    <w:rsid w:val="007D00F7"/>
    <w:rsid w:val="007D50E2"/>
    <w:rsid w:val="007D6042"/>
    <w:rsid w:val="007D6431"/>
    <w:rsid w:val="007D6CF7"/>
    <w:rsid w:val="007E0395"/>
    <w:rsid w:val="007E3120"/>
    <w:rsid w:val="007E60F7"/>
    <w:rsid w:val="007E61BE"/>
    <w:rsid w:val="007E6804"/>
    <w:rsid w:val="007F1BA0"/>
    <w:rsid w:val="00803CCF"/>
    <w:rsid w:val="008135D2"/>
    <w:rsid w:val="00814C19"/>
    <w:rsid w:val="008204BB"/>
    <w:rsid w:val="008230E0"/>
    <w:rsid w:val="008239AC"/>
    <w:rsid w:val="00833741"/>
    <w:rsid w:val="00836027"/>
    <w:rsid w:val="008373F0"/>
    <w:rsid w:val="00843050"/>
    <w:rsid w:val="00852C49"/>
    <w:rsid w:val="00855039"/>
    <w:rsid w:val="00855D2B"/>
    <w:rsid w:val="00856438"/>
    <w:rsid w:val="008606D9"/>
    <w:rsid w:val="008609C1"/>
    <w:rsid w:val="00861A1F"/>
    <w:rsid w:val="0086673E"/>
    <w:rsid w:val="008702D7"/>
    <w:rsid w:val="00884999"/>
    <w:rsid w:val="00893910"/>
    <w:rsid w:val="00893A27"/>
    <w:rsid w:val="008A455E"/>
    <w:rsid w:val="008A6291"/>
    <w:rsid w:val="008B118D"/>
    <w:rsid w:val="008B23C9"/>
    <w:rsid w:val="008B3297"/>
    <w:rsid w:val="008B4BFC"/>
    <w:rsid w:val="008C06A9"/>
    <w:rsid w:val="008C2EA6"/>
    <w:rsid w:val="008C30A0"/>
    <w:rsid w:val="008C7F02"/>
    <w:rsid w:val="008D2C83"/>
    <w:rsid w:val="008D41D7"/>
    <w:rsid w:val="008D788C"/>
    <w:rsid w:val="008D789E"/>
    <w:rsid w:val="008E1A8F"/>
    <w:rsid w:val="008E604C"/>
    <w:rsid w:val="008F243F"/>
    <w:rsid w:val="00902D18"/>
    <w:rsid w:val="009046F8"/>
    <w:rsid w:val="009121D8"/>
    <w:rsid w:val="00917E4A"/>
    <w:rsid w:val="00920624"/>
    <w:rsid w:val="009307C7"/>
    <w:rsid w:val="0093087F"/>
    <w:rsid w:val="009430A0"/>
    <w:rsid w:val="00945354"/>
    <w:rsid w:val="00946833"/>
    <w:rsid w:val="00952747"/>
    <w:rsid w:val="00954CBA"/>
    <w:rsid w:val="00956374"/>
    <w:rsid w:val="009608CA"/>
    <w:rsid w:val="00963929"/>
    <w:rsid w:val="00972546"/>
    <w:rsid w:val="009738F4"/>
    <w:rsid w:val="00973DD3"/>
    <w:rsid w:val="009772DB"/>
    <w:rsid w:val="009906FF"/>
    <w:rsid w:val="00992988"/>
    <w:rsid w:val="009944BD"/>
    <w:rsid w:val="009A4A19"/>
    <w:rsid w:val="009B0756"/>
    <w:rsid w:val="009B07E6"/>
    <w:rsid w:val="009B0CAD"/>
    <w:rsid w:val="009B1E91"/>
    <w:rsid w:val="009C1A40"/>
    <w:rsid w:val="009D02C8"/>
    <w:rsid w:val="009D19E3"/>
    <w:rsid w:val="009D4AA0"/>
    <w:rsid w:val="009E5090"/>
    <w:rsid w:val="009F10DC"/>
    <w:rsid w:val="009F1A56"/>
    <w:rsid w:val="009F3774"/>
    <w:rsid w:val="009F784F"/>
    <w:rsid w:val="00A02D8C"/>
    <w:rsid w:val="00A112C5"/>
    <w:rsid w:val="00A23BA0"/>
    <w:rsid w:val="00A2758D"/>
    <w:rsid w:val="00A300ED"/>
    <w:rsid w:val="00A33151"/>
    <w:rsid w:val="00A3758B"/>
    <w:rsid w:val="00A37A2B"/>
    <w:rsid w:val="00A42AEF"/>
    <w:rsid w:val="00A44914"/>
    <w:rsid w:val="00A46FE0"/>
    <w:rsid w:val="00A54A84"/>
    <w:rsid w:val="00A612A7"/>
    <w:rsid w:val="00A7058F"/>
    <w:rsid w:val="00A7462C"/>
    <w:rsid w:val="00A8131F"/>
    <w:rsid w:val="00A82D8D"/>
    <w:rsid w:val="00A82E2A"/>
    <w:rsid w:val="00A8556F"/>
    <w:rsid w:val="00A87D8B"/>
    <w:rsid w:val="00A93B85"/>
    <w:rsid w:val="00A963B2"/>
    <w:rsid w:val="00A96C96"/>
    <w:rsid w:val="00AA1767"/>
    <w:rsid w:val="00AA38B0"/>
    <w:rsid w:val="00AA5F37"/>
    <w:rsid w:val="00AB5697"/>
    <w:rsid w:val="00AB5D23"/>
    <w:rsid w:val="00AC318E"/>
    <w:rsid w:val="00AC3485"/>
    <w:rsid w:val="00AC3895"/>
    <w:rsid w:val="00AC4CD9"/>
    <w:rsid w:val="00AD1B8D"/>
    <w:rsid w:val="00AF2012"/>
    <w:rsid w:val="00AF70D2"/>
    <w:rsid w:val="00AF750C"/>
    <w:rsid w:val="00B010E8"/>
    <w:rsid w:val="00B06074"/>
    <w:rsid w:val="00B17BEC"/>
    <w:rsid w:val="00B24DAE"/>
    <w:rsid w:val="00B302E7"/>
    <w:rsid w:val="00B3058C"/>
    <w:rsid w:val="00B322C2"/>
    <w:rsid w:val="00B40420"/>
    <w:rsid w:val="00B40E99"/>
    <w:rsid w:val="00B41D1A"/>
    <w:rsid w:val="00B42788"/>
    <w:rsid w:val="00B432CA"/>
    <w:rsid w:val="00B47A0B"/>
    <w:rsid w:val="00B517AA"/>
    <w:rsid w:val="00B572A9"/>
    <w:rsid w:val="00B728B4"/>
    <w:rsid w:val="00B74A92"/>
    <w:rsid w:val="00B830F1"/>
    <w:rsid w:val="00B83890"/>
    <w:rsid w:val="00B83A70"/>
    <w:rsid w:val="00B83EC9"/>
    <w:rsid w:val="00B84DEF"/>
    <w:rsid w:val="00B8597D"/>
    <w:rsid w:val="00B86F24"/>
    <w:rsid w:val="00B90BCA"/>
    <w:rsid w:val="00B93903"/>
    <w:rsid w:val="00BB09D2"/>
    <w:rsid w:val="00BB297A"/>
    <w:rsid w:val="00BB7C22"/>
    <w:rsid w:val="00BC1BB7"/>
    <w:rsid w:val="00BC741A"/>
    <w:rsid w:val="00BE6CD8"/>
    <w:rsid w:val="00BF7A4E"/>
    <w:rsid w:val="00C028A2"/>
    <w:rsid w:val="00C064EA"/>
    <w:rsid w:val="00C1588B"/>
    <w:rsid w:val="00C15F5A"/>
    <w:rsid w:val="00C324B8"/>
    <w:rsid w:val="00C34BAD"/>
    <w:rsid w:val="00C362C6"/>
    <w:rsid w:val="00C37E30"/>
    <w:rsid w:val="00C43262"/>
    <w:rsid w:val="00C455FC"/>
    <w:rsid w:val="00C5326F"/>
    <w:rsid w:val="00C5328B"/>
    <w:rsid w:val="00C573F6"/>
    <w:rsid w:val="00C75528"/>
    <w:rsid w:val="00C77435"/>
    <w:rsid w:val="00C8154C"/>
    <w:rsid w:val="00C82B6E"/>
    <w:rsid w:val="00C84A37"/>
    <w:rsid w:val="00C91ED1"/>
    <w:rsid w:val="00C94145"/>
    <w:rsid w:val="00CA08C5"/>
    <w:rsid w:val="00CA1CF9"/>
    <w:rsid w:val="00CA2A02"/>
    <w:rsid w:val="00CA5E25"/>
    <w:rsid w:val="00CA7875"/>
    <w:rsid w:val="00CA79BD"/>
    <w:rsid w:val="00CC68F1"/>
    <w:rsid w:val="00CC73B8"/>
    <w:rsid w:val="00CD35C9"/>
    <w:rsid w:val="00CD421B"/>
    <w:rsid w:val="00CE2249"/>
    <w:rsid w:val="00CE2600"/>
    <w:rsid w:val="00CE37B6"/>
    <w:rsid w:val="00D01E19"/>
    <w:rsid w:val="00D12061"/>
    <w:rsid w:val="00D12117"/>
    <w:rsid w:val="00D233E9"/>
    <w:rsid w:val="00D2542E"/>
    <w:rsid w:val="00D273D0"/>
    <w:rsid w:val="00D27A6D"/>
    <w:rsid w:val="00D27C77"/>
    <w:rsid w:val="00D30C21"/>
    <w:rsid w:val="00D3242A"/>
    <w:rsid w:val="00D33ABB"/>
    <w:rsid w:val="00D36EB2"/>
    <w:rsid w:val="00D37666"/>
    <w:rsid w:val="00D37EAB"/>
    <w:rsid w:val="00D45B0E"/>
    <w:rsid w:val="00D45F69"/>
    <w:rsid w:val="00D72EC8"/>
    <w:rsid w:val="00D7405E"/>
    <w:rsid w:val="00D800B3"/>
    <w:rsid w:val="00D849A6"/>
    <w:rsid w:val="00D853BD"/>
    <w:rsid w:val="00D905A1"/>
    <w:rsid w:val="00D91D0A"/>
    <w:rsid w:val="00DA5B90"/>
    <w:rsid w:val="00DB11DB"/>
    <w:rsid w:val="00DB2EF2"/>
    <w:rsid w:val="00DC1E3A"/>
    <w:rsid w:val="00DD745D"/>
    <w:rsid w:val="00DD751A"/>
    <w:rsid w:val="00DF4C17"/>
    <w:rsid w:val="00DF5498"/>
    <w:rsid w:val="00DF6179"/>
    <w:rsid w:val="00E00B67"/>
    <w:rsid w:val="00E139BB"/>
    <w:rsid w:val="00E13EFF"/>
    <w:rsid w:val="00E1629E"/>
    <w:rsid w:val="00E17D24"/>
    <w:rsid w:val="00E21ABB"/>
    <w:rsid w:val="00E24023"/>
    <w:rsid w:val="00E32CA5"/>
    <w:rsid w:val="00E34A00"/>
    <w:rsid w:val="00E36CE1"/>
    <w:rsid w:val="00E36F64"/>
    <w:rsid w:val="00E45AF2"/>
    <w:rsid w:val="00E50E88"/>
    <w:rsid w:val="00E51221"/>
    <w:rsid w:val="00E60AF1"/>
    <w:rsid w:val="00E61C13"/>
    <w:rsid w:val="00E7048F"/>
    <w:rsid w:val="00E776D3"/>
    <w:rsid w:val="00E81B63"/>
    <w:rsid w:val="00E82D7E"/>
    <w:rsid w:val="00E842D9"/>
    <w:rsid w:val="00E92636"/>
    <w:rsid w:val="00E9735B"/>
    <w:rsid w:val="00E97EC1"/>
    <w:rsid w:val="00EA4ADE"/>
    <w:rsid w:val="00EA5FA0"/>
    <w:rsid w:val="00EB0648"/>
    <w:rsid w:val="00EB3C35"/>
    <w:rsid w:val="00EC2C1C"/>
    <w:rsid w:val="00EC2CCB"/>
    <w:rsid w:val="00EE0D38"/>
    <w:rsid w:val="00EE774C"/>
    <w:rsid w:val="00EF02F5"/>
    <w:rsid w:val="00EF036C"/>
    <w:rsid w:val="00EF4861"/>
    <w:rsid w:val="00EF5381"/>
    <w:rsid w:val="00EF5753"/>
    <w:rsid w:val="00EF7AE4"/>
    <w:rsid w:val="00F073A6"/>
    <w:rsid w:val="00F260F0"/>
    <w:rsid w:val="00F26997"/>
    <w:rsid w:val="00F37EF1"/>
    <w:rsid w:val="00F40CA4"/>
    <w:rsid w:val="00F44E9A"/>
    <w:rsid w:val="00F4776A"/>
    <w:rsid w:val="00F47DFC"/>
    <w:rsid w:val="00F57BEC"/>
    <w:rsid w:val="00F8191E"/>
    <w:rsid w:val="00F8649E"/>
    <w:rsid w:val="00F92373"/>
    <w:rsid w:val="00F93791"/>
    <w:rsid w:val="00F97AA6"/>
    <w:rsid w:val="00FA273D"/>
    <w:rsid w:val="00FA5CC1"/>
    <w:rsid w:val="00FA7681"/>
    <w:rsid w:val="00FA7770"/>
    <w:rsid w:val="00FA7DB7"/>
    <w:rsid w:val="00FC17D4"/>
    <w:rsid w:val="00FC6C24"/>
    <w:rsid w:val="00FD1902"/>
    <w:rsid w:val="00FD2DDD"/>
    <w:rsid w:val="00FD5350"/>
    <w:rsid w:val="00FD704D"/>
    <w:rsid w:val="00FE0D52"/>
    <w:rsid w:val="00FF0CBB"/>
    <w:rsid w:val="00FF1C86"/>
    <w:rsid w:val="00FF2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33FC"/>
  <w15:docId w15:val="{D48DD6C2-E5C3-47EC-BE93-8AF4AF8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2D72"/>
    <w:rPr>
      <w:rFonts w:ascii="Times New Roman" w:eastAsia="Times New Roman" w:hAnsi="Times New Roman" w:cs="Times New Roman"/>
    </w:rPr>
  </w:style>
  <w:style w:type="paragraph" w:styleId="Ttulo3">
    <w:name w:val="heading 3"/>
    <w:basedOn w:val="Normal"/>
    <w:link w:val="Ttulo3Car"/>
    <w:uiPriority w:val="9"/>
    <w:qFormat/>
    <w:rsid w:val="005A3FCF"/>
    <w:pPr>
      <w:spacing w:before="100" w:beforeAutospacing="1" w:after="100" w:afterAutospacing="1" w:line="240" w:lineRule="auto"/>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22D72"/>
    <w:pPr>
      <w:ind w:left="720"/>
      <w:contextualSpacing/>
    </w:pPr>
  </w:style>
  <w:style w:type="paragraph" w:customStyle="1" w:styleId="Default">
    <w:name w:val="Default"/>
    <w:rsid w:val="00222D72"/>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A05AC"/>
    <w:rPr>
      <w:color w:val="0000FF" w:themeColor="hyperlink"/>
      <w:u w:val="single"/>
    </w:rPr>
  </w:style>
  <w:style w:type="character" w:styleId="Hipervnculovisitado">
    <w:name w:val="FollowedHyperlink"/>
    <w:basedOn w:val="Fuentedeprrafopredeter"/>
    <w:uiPriority w:val="99"/>
    <w:semiHidden/>
    <w:unhideWhenUsed/>
    <w:rsid w:val="009E5090"/>
    <w:rPr>
      <w:color w:val="800080" w:themeColor="followedHyperlink"/>
      <w:u w:val="single"/>
    </w:rPr>
  </w:style>
  <w:style w:type="table" w:styleId="Tablaconcuadrcula">
    <w:name w:val="Table Grid"/>
    <w:basedOn w:val="Tablanormal"/>
    <w:uiPriority w:val="39"/>
    <w:rsid w:val="00E3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17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7AA"/>
    <w:rPr>
      <w:rFonts w:ascii="Times New Roman" w:eastAsia="Times New Roman" w:hAnsi="Times New Roman" w:cs="Times New Roman"/>
    </w:rPr>
  </w:style>
  <w:style w:type="paragraph" w:styleId="Piedepgina">
    <w:name w:val="footer"/>
    <w:basedOn w:val="Normal"/>
    <w:link w:val="PiedepginaCar"/>
    <w:uiPriority w:val="99"/>
    <w:unhideWhenUsed/>
    <w:rsid w:val="00B517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7AA"/>
    <w:rPr>
      <w:rFonts w:ascii="Times New Roman" w:eastAsia="Times New Roman" w:hAnsi="Times New Roman" w:cs="Times New Roman"/>
    </w:rPr>
  </w:style>
  <w:style w:type="character" w:styleId="Textoennegrita">
    <w:name w:val="Strong"/>
    <w:basedOn w:val="Fuentedeprrafopredeter"/>
    <w:uiPriority w:val="22"/>
    <w:qFormat/>
    <w:rsid w:val="00420E80"/>
    <w:rPr>
      <w:b/>
      <w:bCs/>
    </w:rPr>
  </w:style>
  <w:style w:type="paragraph" w:styleId="Textodeglobo">
    <w:name w:val="Balloon Text"/>
    <w:basedOn w:val="Normal"/>
    <w:link w:val="TextodegloboCar"/>
    <w:uiPriority w:val="99"/>
    <w:semiHidden/>
    <w:unhideWhenUsed/>
    <w:rsid w:val="00DD74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45D"/>
    <w:rPr>
      <w:rFonts w:ascii="Segoe UI" w:eastAsia="Times New Roman" w:hAnsi="Segoe UI" w:cs="Segoe UI"/>
      <w:sz w:val="18"/>
      <w:szCs w:val="18"/>
    </w:rPr>
  </w:style>
  <w:style w:type="character" w:styleId="Refdecomentario">
    <w:name w:val="annotation reference"/>
    <w:basedOn w:val="Fuentedeprrafopredeter"/>
    <w:unhideWhenUsed/>
    <w:rsid w:val="00717DFB"/>
    <w:rPr>
      <w:sz w:val="16"/>
      <w:szCs w:val="16"/>
    </w:rPr>
  </w:style>
  <w:style w:type="paragraph" w:styleId="Textocomentario">
    <w:name w:val="annotation text"/>
    <w:basedOn w:val="Normal"/>
    <w:link w:val="TextocomentarioCar"/>
    <w:unhideWhenUsed/>
    <w:rsid w:val="00717DFB"/>
    <w:pPr>
      <w:spacing w:line="240" w:lineRule="auto"/>
    </w:pPr>
    <w:rPr>
      <w:sz w:val="20"/>
      <w:szCs w:val="20"/>
    </w:rPr>
  </w:style>
  <w:style w:type="character" w:customStyle="1" w:styleId="TextocomentarioCar">
    <w:name w:val="Texto comentario Car"/>
    <w:basedOn w:val="Fuentedeprrafopredeter"/>
    <w:link w:val="Textocomentario"/>
    <w:uiPriority w:val="99"/>
    <w:rsid w:val="00717DFB"/>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17DFB"/>
    <w:rPr>
      <w:b/>
      <w:bCs/>
    </w:rPr>
  </w:style>
  <w:style w:type="character" w:customStyle="1" w:styleId="AsuntodelcomentarioCar">
    <w:name w:val="Asunto del comentario Car"/>
    <w:basedOn w:val="TextocomentarioCar"/>
    <w:link w:val="Asuntodelcomentario"/>
    <w:uiPriority w:val="99"/>
    <w:semiHidden/>
    <w:rsid w:val="00717DFB"/>
    <w:rPr>
      <w:rFonts w:ascii="Times New Roman" w:eastAsia="Times New Roman" w:hAnsi="Times New Roman" w:cs="Times New Roman"/>
      <w:b/>
      <w:bCs/>
      <w:sz w:val="20"/>
      <w:szCs w:val="20"/>
    </w:rPr>
  </w:style>
  <w:style w:type="paragraph" w:styleId="Listaconvietas">
    <w:name w:val="List Bullet"/>
    <w:basedOn w:val="Normal"/>
    <w:uiPriority w:val="99"/>
    <w:unhideWhenUsed/>
    <w:rsid w:val="0093087F"/>
    <w:pPr>
      <w:numPr>
        <w:numId w:val="10"/>
      </w:numPr>
      <w:contextualSpacing/>
    </w:pPr>
  </w:style>
  <w:style w:type="character" w:customStyle="1" w:styleId="label">
    <w:name w:val="label"/>
    <w:basedOn w:val="Fuentedeprrafopredeter"/>
    <w:rsid w:val="00412F13"/>
  </w:style>
  <w:style w:type="character" w:customStyle="1" w:styleId="PrrafodelistaCar">
    <w:name w:val="Párrafo de lista Car"/>
    <w:basedOn w:val="Fuentedeprrafopredeter"/>
    <w:link w:val="Prrafodelista"/>
    <w:uiPriority w:val="34"/>
    <w:rsid w:val="003E12C9"/>
    <w:rPr>
      <w:rFonts w:ascii="Times New Roman" w:eastAsia="Times New Roman" w:hAnsi="Times New Roman" w:cs="Times New Roman"/>
    </w:rPr>
  </w:style>
  <w:style w:type="character" w:customStyle="1" w:styleId="Ttulo3Car">
    <w:name w:val="Título 3 Car"/>
    <w:basedOn w:val="Fuentedeprrafopredeter"/>
    <w:link w:val="Ttulo3"/>
    <w:uiPriority w:val="9"/>
    <w:rsid w:val="005A3FCF"/>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5A3FCF"/>
    <w:rPr>
      <w:i/>
      <w:iCs/>
    </w:rPr>
  </w:style>
  <w:style w:type="paragraph" w:customStyle="1" w:styleId="AGAETexto">
    <w:name w:val="AGAE Texto"/>
    <w:basedOn w:val="Normal"/>
    <w:link w:val="AGAETextoCar"/>
    <w:qFormat/>
    <w:rsid w:val="00FD704D"/>
    <w:pPr>
      <w:spacing w:before="120" w:after="120" w:line="360" w:lineRule="auto"/>
      <w:jc w:val="both"/>
    </w:pPr>
    <w:rPr>
      <w:rFonts w:ascii="Calibri" w:eastAsia="Calibri" w:hAnsi="Calibri"/>
    </w:rPr>
  </w:style>
  <w:style w:type="character" w:customStyle="1" w:styleId="AGAETextoCar">
    <w:name w:val="AGAE Texto Car"/>
    <w:link w:val="AGAETexto"/>
    <w:rsid w:val="00FD704D"/>
    <w:rPr>
      <w:rFonts w:ascii="Calibri" w:eastAsia="Calibri" w:hAnsi="Calibri" w:cs="Times New Roman"/>
    </w:rPr>
  </w:style>
  <w:style w:type="paragraph" w:styleId="NormalWeb">
    <w:name w:val="Normal (Web)"/>
    <w:basedOn w:val="Normal"/>
    <w:uiPriority w:val="99"/>
    <w:semiHidden/>
    <w:unhideWhenUsed/>
    <w:rsid w:val="00A54A84"/>
    <w:pPr>
      <w:spacing w:before="100" w:beforeAutospacing="1" w:after="100" w:afterAutospacing="1" w:line="240" w:lineRule="auto"/>
    </w:pPr>
    <w:rPr>
      <w:sz w:val="24"/>
      <w:szCs w:val="24"/>
      <w:lang w:eastAsia="es-ES"/>
    </w:rPr>
  </w:style>
  <w:style w:type="character" w:customStyle="1" w:styleId="UnresolvedMention">
    <w:name w:val="Unresolved Mention"/>
    <w:basedOn w:val="Fuentedeprrafopredeter"/>
    <w:uiPriority w:val="99"/>
    <w:semiHidden/>
    <w:unhideWhenUsed/>
    <w:rsid w:val="0081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2899">
      <w:bodyDiv w:val="1"/>
      <w:marLeft w:val="0"/>
      <w:marRight w:val="0"/>
      <w:marTop w:val="0"/>
      <w:marBottom w:val="0"/>
      <w:divBdr>
        <w:top w:val="none" w:sz="0" w:space="0" w:color="auto"/>
        <w:left w:val="none" w:sz="0" w:space="0" w:color="auto"/>
        <w:bottom w:val="none" w:sz="0" w:space="0" w:color="auto"/>
        <w:right w:val="none" w:sz="0" w:space="0" w:color="auto"/>
      </w:divBdr>
      <w:divsChild>
        <w:div w:id="1312516674">
          <w:marLeft w:val="0"/>
          <w:marRight w:val="0"/>
          <w:marTop w:val="0"/>
          <w:marBottom w:val="0"/>
          <w:divBdr>
            <w:top w:val="none" w:sz="0" w:space="0" w:color="auto"/>
            <w:left w:val="none" w:sz="0" w:space="0" w:color="auto"/>
            <w:bottom w:val="none" w:sz="0" w:space="0" w:color="auto"/>
            <w:right w:val="none" w:sz="0" w:space="0" w:color="auto"/>
          </w:divBdr>
          <w:divsChild>
            <w:div w:id="433328964">
              <w:marLeft w:val="0"/>
              <w:marRight w:val="0"/>
              <w:marTop w:val="0"/>
              <w:marBottom w:val="0"/>
              <w:divBdr>
                <w:top w:val="none" w:sz="0" w:space="0" w:color="auto"/>
                <w:left w:val="none" w:sz="0" w:space="0" w:color="auto"/>
                <w:bottom w:val="none" w:sz="0" w:space="0" w:color="auto"/>
                <w:right w:val="none" w:sz="0" w:space="0" w:color="auto"/>
              </w:divBdr>
            </w:div>
            <w:div w:id="854731983">
              <w:marLeft w:val="0"/>
              <w:marRight w:val="0"/>
              <w:marTop w:val="0"/>
              <w:marBottom w:val="0"/>
              <w:divBdr>
                <w:top w:val="none" w:sz="0" w:space="0" w:color="auto"/>
                <w:left w:val="none" w:sz="0" w:space="0" w:color="auto"/>
                <w:bottom w:val="none" w:sz="0" w:space="0" w:color="auto"/>
                <w:right w:val="none" w:sz="0" w:space="0" w:color="auto"/>
              </w:divBdr>
            </w:div>
            <w:div w:id="507060356">
              <w:marLeft w:val="0"/>
              <w:marRight w:val="0"/>
              <w:marTop w:val="0"/>
              <w:marBottom w:val="0"/>
              <w:divBdr>
                <w:top w:val="none" w:sz="0" w:space="0" w:color="auto"/>
                <w:left w:val="none" w:sz="0" w:space="0" w:color="auto"/>
                <w:bottom w:val="none" w:sz="0" w:space="0" w:color="auto"/>
                <w:right w:val="none" w:sz="0" w:space="0" w:color="auto"/>
              </w:divBdr>
            </w:div>
            <w:div w:id="1828665941">
              <w:marLeft w:val="0"/>
              <w:marRight w:val="0"/>
              <w:marTop w:val="0"/>
              <w:marBottom w:val="0"/>
              <w:divBdr>
                <w:top w:val="none" w:sz="0" w:space="0" w:color="auto"/>
                <w:left w:val="none" w:sz="0" w:space="0" w:color="auto"/>
                <w:bottom w:val="none" w:sz="0" w:space="0" w:color="auto"/>
                <w:right w:val="none" w:sz="0" w:space="0" w:color="auto"/>
              </w:divBdr>
            </w:div>
            <w:div w:id="1768695876">
              <w:marLeft w:val="0"/>
              <w:marRight w:val="0"/>
              <w:marTop w:val="0"/>
              <w:marBottom w:val="0"/>
              <w:divBdr>
                <w:top w:val="none" w:sz="0" w:space="0" w:color="auto"/>
                <w:left w:val="none" w:sz="0" w:space="0" w:color="auto"/>
                <w:bottom w:val="none" w:sz="0" w:space="0" w:color="auto"/>
                <w:right w:val="none" w:sz="0" w:space="0" w:color="auto"/>
              </w:divBdr>
            </w:div>
            <w:div w:id="1520049622">
              <w:marLeft w:val="0"/>
              <w:marRight w:val="0"/>
              <w:marTop w:val="0"/>
              <w:marBottom w:val="0"/>
              <w:divBdr>
                <w:top w:val="none" w:sz="0" w:space="0" w:color="auto"/>
                <w:left w:val="none" w:sz="0" w:space="0" w:color="auto"/>
                <w:bottom w:val="none" w:sz="0" w:space="0" w:color="auto"/>
                <w:right w:val="none" w:sz="0" w:space="0" w:color="auto"/>
              </w:divBdr>
            </w:div>
            <w:div w:id="713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9700">
      <w:bodyDiv w:val="1"/>
      <w:marLeft w:val="0"/>
      <w:marRight w:val="0"/>
      <w:marTop w:val="0"/>
      <w:marBottom w:val="0"/>
      <w:divBdr>
        <w:top w:val="none" w:sz="0" w:space="0" w:color="auto"/>
        <w:left w:val="none" w:sz="0" w:space="0" w:color="auto"/>
        <w:bottom w:val="none" w:sz="0" w:space="0" w:color="auto"/>
        <w:right w:val="none" w:sz="0" w:space="0" w:color="auto"/>
      </w:divBdr>
    </w:div>
    <w:div w:id="172259420">
      <w:bodyDiv w:val="1"/>
      <w:marLeft w:val="0"/>
      <w:marRight w:val="0"/>
      <w:marTop w:val="0"/>
      <w:marBottom w:val="0"/>
      <w:divBdr>
        <w:top w:val="none" w:sz="0" w:space="0" w:color="auto"/>
        <w:left w:val="none" w:sz="0" w:space="0" w:color="auto"/>
        <w:bottom w:val="none" w:sz="0" w:space="0" w:color="auto"/>
        <w:right w:val="none" w:sz="0" w:space="0" w:color="auto"/>
      </w:divBdr>
      <w:divsChild>
        <w:div w:id="481507959">
          <w:marLeft w:val="0"/>
          <w:marRight w:val="0"/>
          <w:marTop w:val="0"/>
          <w:marBottom w:val="0"/>
          <w:divBdr>
            <w:top w:val="none" w:sz="0" w:space="0" w:color="auto"/>
            <w:left w:val="none" w:sz="0" w:space="0" w:color="auto"/>
            <w:bottom w:val="none" w:sz="0" w:space="0" w:color="auto"/>
            <w:right w:val="none" w:sz="0" w:space="0" w:color="auto"/>
          </w:divBdr>
          <w:divsChild>
            <w:div w:id="943154467">
              <w:marLeft w:val="0"/>
              <w:marRight w:val="0"/>
              <w:marTop w:val="0"/>
              <w:marBottom w:val="0"/>
              <w:divBdr>
                <w:top w:val="none" w:sz="0" w:space="0" w:color="auto"/>
                <w:left w:val="none" w:sz="0" w:space="0" w:color="auto"/>
                <w:bottom w:val="none" w:sz="0" w:space="0" w:color="auto"/>
                <w:right w:val="none" w:sz="0" w:space="0" w:color="auto"/>
              </w:divBdr>
            </w:div>
            <w:div w:id="132647320">
              <w:marLeft w:val="0"/>
              <w:marRight w:val="0"/>
              <w:marTop w:val="0"/>
              <w:marBottom w:val="0"/>
              <w:divBdr>
                <w:top w:val="none" w:sz="0" w:space="0" w:color="auto"/>
                <w:left w:val="none" w:sz="0" w:space="0" w:color="auto"/>
                <w:bottom w:val="none" w:sz="0" w:space="0" w:color="auto"/>
                <w:right w:val="none" w:sz="0" w:space="0" w:color="auto"/>
              </w:divBdr>
            </w:div>
            <w:div w:id="584801165">
              <w:marLeft w:val="0"/>
              <w:marRight w:val="0"/>
              <w:marTop w:val="0"/>
              <w:marBottom w:val="0"/>
              <w:divBdr>
                <w:top w:val="none" w:sz="0" w:space="0" w:color="auto"/>
                <w:left w:val="none" w:sz="0" w:space="0" w:color="auto"/>
                <w:bottom w:val="none" w:sz="0" w:space="0" w:color="auto"/>
                <w:right w:val="none" w:sz="0" w:space="0" w:color="auto"/>
              </w:divBdr>
            </w:div>
            <w:div w:id="1292054858">
              <w:marLeft w:val="0"/>
              <w:marRight w:val="0"/>
              <w:marTop w:val="0"/>
              <w:marBottom w:val="0"/>
              <w:divBdr>
                <w:top w:val="none" w:sz="0" w:space="0" w:color="auto"/>
                <w:left w:val="none" w:sz="0" w:space="0" w:color="auto"/>
                <w:bottom w:val="none" w:sz="0" w:space="0" w:color="auto"/>
                <w:right w:val="none" w:sz="0" w:space="0" w:color="auto"/>
              </w:divBdr>
            </w:div>
            <w:div w:id="1742561092">
              <w:marLeft w:val="0"/>
              <w:marRight w:val="0"/>
              <w:marTop w:val="0"/>
              <w:marBottom w:val="0"/>
              <w:divBdr>
                <w:top w:val="none" w:sz="0" w:space="0" w:color="auto"/>
                <w:left w:val="none" w:sz="0" w:space="0" w:color="auto"/>
                <w:bottom w:val="none" w:sz="0" w:space="0" w:color="auto"/>
                <w:right w:val="none" w:sz="0" w:space="0" w:color="auto"/>
              </w:divBdr>
            </w:div>
            <w:div w:id="1443453543">
              <w:marLeft w:val="0"/>
              <w:marRight w:val="0"/>
              <w:marTop w:val="0"/>
              <w:marBottom w:val="0"/>
              <w:divBdr>
                <w:top w:val="none" w:sz="0" w:space="0" w:color="auto"/>
                <w:left w:val="none" w:sz="0" w:space="0" w:color="auto"/>
                <w:bottom w:val="none" w:sz="0" w:space="0" w:color="auto"/>
                <w:right w:val="none" w:sz="0" w:space="0" w:color="auto"/>
              </w:divBdr>
            </w:div>
            <w:div w:id="8884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960">
      <w:bodyDiv w:val="1"/>
      <w:marLeft w:val="0"/>
      <w:marRight w:val="0"/>
      <w:marTop w:val="0"/>
      <w:marBottom w:val="0"/>
      <w:divBdr>
        <w:top w:val="none" w:sz="0" w:space="0" w:color="auto"/>
        <w:left w:val="none" w:sz="0" w:space="0" w:color="auto"/>
        <w:bottom w:val="none" w:sz="0" w:space="0" w:color="auto"/>
        <w:right w:val="none" w:sz="0" w:space="0" w:color="auto"/>
      </w:divBdr>
    </w:div>
    <w:div w:id="222642488">
      <w:bodyDiv w:val="1"/>
      <w:marLeft w:val="0"/>
      <w:marRight w:val="0"/>
      <w:marTop w:val="0"/>
      <w:marBottom w:val="0"/>
      <w:divBdr>
        <w:top w:val="none" w:sz="0" w:space="0" w:color="auto"/>
        <w:left w:val="none" w:sz="0" w:space="0" w:color="auto"/>
        <w:bottom w:val="none" w:sz="0" w:space="0" w:color="auto"/>
        <w:right w:val="none" w:sz="0" w:space="0" w:color="auto"/>
      </w:divBdr>
    </w:div>
    <w:div w:id="282151456">
      <w:bodyDiv w:val="1"/>
      <w:marLeft w:val="0"/>
      <w:marRight w:val="0"/>
      <w:marTop w:val="0"/>
      <w:marBottom w:val="0"/>
      <w:divBdr>
        <w:top w:val="none" w:sz="0" w:space="0" w:color="auto"/>
        <w:left w:val="none" w:sz="0" w:space="0" w:color="auto"/>
        <w:bottom w:val="none" w:sz="0" w:space="0" w:color="auto"/>
        <w:right w:val="none" w:sz="0" w:space="0" w:color="auto"/>
      </w:divBdr>
      <w:divsChild>
        <w:div w:id="1510481052">
          <w:marLeft w:val="0"/>
          <w:marRight w:val="0"/>
          <w:marTop w:val="0"/>
          <w:marBottom w:val="0"/>
          <w:divBdr>
            <w:top w:val="none" w:sz="0" w:space="0" w:color="auto"/>
            <w:left w:val="none" w:sz="0" w:space="0" w:color="auto"/>
            <w:bottom w:val="none" w:sz="0" w:space="0" w:color="auto"/>
            <w:right w:val="none" w:sz="0" w:space="0" w:color="auto"/>
          </w:divBdr>
          <w:divsChild>
            <w:div w:id="1095634168">
              <w:marLeft w:val="0"/>
              <w:marRight w:val="0"/>
              <w:marTop w:val="0"/>
              <w:marBottom w:val="0"/>
              <w:divBdr>
                <w:top w:val="none" w:sz="0" w:space="0" w:color="auto"/>
                <w:left w:val="none" w:sz="0" w:space="0" w:color="auto"/>
                <w:bottom w:val="none" w:sz="0" w:space="0" w:color="auto"/>
                <w:right w:val="none" w:sz="0" w:space="0" w:color="auto"/>
              </w:divBdr>
            </w:div>
            <w:div w:id="84615154">
              <w:marLeft w:val="0"/>
              <w:marRight w:val="0"/>
              <w:marTop w:val="0"/>
              <w:marBottom w:val="0"/>
              <w:divBdr>
                <w:top w:val="none" w:sz="0" w:space="0" w:color="auto"/>
                <w:left w:val="none" w:sz="0" w:space="0" w:color="auto"/>
                <w:bottom w:val="none" w:sz="0" w:space="0" w:color="auto"/>
                <w:right w:val="none" w:sz="0" w:space="0" w:color="auto"/>
              </w:divBdr>
            </w:div>
            <w:div w:id="117996001">
              <w:marLeft w:val="0"/>
              <w:marRight w:val="0"/>
              <w:marTop w:val="0"/>
              <w:marBottom w:val="0"/>
              <w:divBdr>
                <w:top w:val="none" w:sz="0" w:space="0" w:color="auto"/>
                <w:left w:val="none" w:sz="0" w:space="0" w:color="auto"/>
                <w:bottom w:val="none" w:sz="0" w:space="0" w:color="auto"/>
                <w:right w:val="none" w:sz="0" w:space="0" w:color="auto"/>
              </w:divBdr>
            </w:div>
            <w:div w:id="1281188853">
              <w:marLeft w:val="0"/>
              <w:marRight w:val="0"/>
              <w:marTop w:val="0"/>
              <w:marBottom w:val="0"/>
              <w:divBdr>
                <w:top w:val="none" w:sz="0" w:space="0" w:color="auto"/>
                <w:left w:val="none" w:sz="0" w:space="0" w:color="auto"/>
                <w:bottom w:val="none" w:sz="0" w:space="0" w:color="auto"/>
                <w:right w:val="none" w:sz="0" w:space="0" w:color="auto"/>
              </w:divBdr>
            </w:div>
            <w:div w:id="1690716586">
              <w:marLeft w:val="0"/>
              <w:marRight w:val="0"/>
              <w:marTop w:val="0"/>
              <w:marBottom w:val="0"/>
              <w:divBdr>
                <w:top w:val="none" w:sz="0" w:space="0" w:color="auto"/>
                <w:left w:val="none" w:sz="0" w:space="0" w:color="auto"/>
                <w:bottom w:val="none" w:sz="0" w:space="0" w:color="auto"/>
                <w:right w:val="none" w:sz="0" w:space="0" w:color="auto"/>
              </w:divBdr>
            </w:div>
            <w:div w:id="416751548">
              <w:marLeft w:val="0"/>
              <w:marRight w:val="0"/>
              <w:marTop w:val="0"/>
              <w:marBottom w:val="0"/>
              <w:divBdr>
                <w:top w:val="none" w:sz="0" w:space="0" w:color="auto"/>
                <w:left w:val="none" w:sz="0" w:space="0" w:color="auto"/>
                <w:bottom w:val="none" w:sz="0" w:space="0" w:color="auto"/>
                <w:right w:val="none" w:sz="0" w:space="0" w:color="auto"/>
              </w:divBdr>
            </w:div>
            <w:div w:id="20693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0691">
      <w:bodyDiv w:val="1"/>
      <w:marLeft w:val="0"/>
      <w:marRight w:val="0"/>
      <w:marTop w:val="0"/>
      <w:marBottom w:val="0"/>
      <w:divBdr>
        <w:top w:val="none" w:sz="0" w:space="0" w:color="auto"/>
        <w:left w:val="none" w:sz="0" w:space="0" w:color="auto"/>
        <w:bottom w:val="none" w:sz="0" w:space="0" w:color="auto"/>
        <w:right w:val="none" w:sz="0" w:space="0" w:color="auto"/>
      </w:divBdr>
      <w:divsChild>
        <w:div w:id="1180512130">
          <w:marLeft w:val="0"/>
          <w:marRight w:val="0"/>
          <w:marTop w:val="0"/>
          <w:marBottom w:val="0"/>
          <w:divBdr>
            <w:top w:val="none" w:sz="0" w:space="0" w:color="auto"/>
            <w:left w:val="none" w:sz="0" w:space="0" w:color="auto"/>
            <w:bottom w:val="none" w:sz="0" w:space="0" w:color="auto"/>
            <w:right w:val="none" w:sz="0" w:space="0" w:color="auto"/>
          </w:divBdr>
          <w:divsChild>
            <w:div w:id="1866290862">
              <w:marLeft w:val="0"/>
              <w:marRight w:val="0"/>
              <w:marTop w:val="0"/>
              <w:marBottom w:val="0"/>
              <w:divBdr>
                <w:top w:val="none" w:sz="0" w:space="0" w:color="auto"/>
                <w:left w:val="none" w:sz="0" w:space="0" w:color="auto"/>
                <w:bottom w:val="none" w:sz="0" w:space="0" w:color="auto"/>
                <w:right w:val="none" w:sz="0" w:space="0" w:color="auto"/>
              </w:divBdr>
            </w:div>
            <w:div w:id="1791388880">
              <w:marLeft w:val="0"/>
              <w:marRight w:val="0"/>
              <w:marTop w:val="0"/>
              <w:marBottom w:val="0"/>
              <w:divBdr>
                <w:top w:val="none" w:sz="0" w:space="0" w:color="auto"/>
                <w:left w:val="none" w:sz="0" w:space="0" w:color="auto"/>
                <w:bottom w:val="none" w:sz="0" w:space="0" w:color="auto"/>
                <w:right w:val="none" w:sz="0" w:space="0" w:color="auto"/>
              </w:divBdr>
            </w:div>
            <w:div w:id="433134210">
              <w:marLeft w:val="0"/>
              <w:marRight w:val="0"/>
              <w:marTop w:val="0"/>
              <w:marBottom w:val="0"/>
              <w:divBdr>
                <w:top w:val="none" w:sz="0" w:space="0" w:color="auto"/>
                <w:left w:val="none" w:sz="0" w:space="0" w:color="auto"/>
                <w:bottom w:val="none" w:sz="0" w:space="0" w:color="auto"/>
                <w:right w:val="none" w:sz="0" w:space="0" w:color="auto"/>
              </w:divBdr>
            </w:div>
            <w:div w:id="2027167904">
              <w:marLeft w:val="0"/>
              <w:marRight w:val="0"/>
              <w:marTop w:val="0"/>
              <w:marBottom w:val="0"/>
              <w:divBdr>
                <w:top w:val="none" w:sz="0" w:space="0" w:color="auto"/>
                <w:left w:val="none" w:sz="0" w:space="0" w:color="auto"/>
                <w:bottom w:val="none" w:sz="0" w:space="0" w:color="auto"/>
                <w:right w:val="none" w:sz="0" w:space="0" w:color="auto"/>
              </w:divBdr>
            </w:div>
            <w:div w:id="714890631">
              <w:marLeft w:val="0"/>
              <w:marRight w:val="0"/>
              <w:marTop w:val="0"/>
              <w:marBottom w:val="0"/>
              <w:divBdr>
                <w:top w:val="none" w:sz="0" w:space="0" w:color="auto"/>
                <w:left w:val="none" w:sz="0" w:space="0" w:color="auto"/>
                <w:bottom w:val="none" w:sz="0" w:space="0" w:color="auto"/>
                <w:right w:val="none" w:sz="0" w:space="0" w:color="auto"/>
              </w:divBdr>
            </w:div>
            <w:div w:id="682053690">
              <w:marLeft w:val="0"/>
              <w:marRight w:val="0"/>
              <w:marTop w:val="0"/>
              <w:marBottom w:val="0"/>
              <w:divBdr>
                <w:top w:val="none" w:sz="0" w:space="0" w:color="auto"/>
                <w:left w:val="none" w:sz="0" w:space="0" w:color="auto"/>
                <w:bottom w:val="none" w:sz="0" w:space="0" w:color="auto"/>
                <w:right w:val="none" w:sz="0" w:space="0" w:color="auto"/>
              </w:divBdr>
            </w:div>
            <w:div w:id="17834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5808">
      <w:bodyDiv w:val="1"/>
      <w:marLeft w:val="0"/>
      <w:marRight w:val="0"/>
      <w:marTop w:val="0"/>
      <w:marBottom w:val="0"/>
      <w:divBdr>
        <w:top w:val="none" w:sz="0" w:space="0" w:color="auto"/>
        <w:left w:val="none" w:sz="0" w:space="0" w:color="auto"/>
        <w:bottom w:val="none" w:sz="0" w:space="0" w:color="auto"/>
        <w:right w:val="none" w:sz="0" w:space="0" w:color="auto"/>
      </w:divBdr>
      <w:divsChild>
        <w:div w:id="530920103">
          <w:marLeft w:val="0"/>
          <w:marRight w:val="0"/>
          <w:marTop w:val="0"/>
          <w:marBottom w:val="0"/>
          <w:divBdr>
            <w:top w:val="none" w:sz="0" w:space="0" w:color="auto"/>
            <w:left w:val="none" w:sz="0" w:space="0" w:color="auto"/>
            <w:bottom w:val="none" w:sz="0" w:space="0" w:color="auto"/>
            <w:right w:val="none" w:sz="0" w:space="0" w:color="auto"/>
          </w:divBdr>
        </w:div>
        <w:div w:id="988679971">
          <w:marLeft w:val="0"/>
          <w:marRight w:val="0"/>
          <w:marTop w:val="0"/>
          <w:marBottom w:val="0"/>
          <w:divBdr>
            <w:top w:val="none" w:sz="0" w:space="0" w:color="auto"/>
            <w:left w:val="none" w:sz="0" w:space="0" w:color="auto"/>
            <w:bottom w:val="none" w:sz="0" w:space="0" w:color="auto"/>
            <w:right w:val="none" w:sz="0" w:space="0" w:color="auto"/>
          </w:divBdr>
        </w:div>
        <w:div w:id="1328480917">
          <w:marLeft w:val="0"/>
          <w:marRight w:val="0"/>
          <w:marTop w:val="0"/>
          <w:marBottom w:val="0"/>
          <w:divBdr>
            <w:top w:val="none" w:sz="0" w:space="0" w:color="auto"/>
            <w:left w:val="none" w:sz="0" w:space="0" w:color="auto"/>
            <w:bottom w:val="none" w:sz="0" w:space="0" w:color="auto"/>
            <w:right w:val="none" w:sz="0" w:space="0" w:color="auto"/>
          </w:divBdr>
        </w:div>
        <w:div w:id="518157747">
          <w:marLeft w:val="0"/>
          <w:marRight w:val="0"/>
          <w:marTop w:val="0"/>
          <w:marBottom w:val="0"/>
          <w:divBdr>
            <w:top w:val="none" w:sz="0" w:space="0" w:color="auto"/>
            <w:left w:val="none" w:sz="0" w:space="0" w:color="auto"/>
            <w:bottom w:val="none" w:sz="0" w:space="0" w:color="auto"/>
            <w:right w:val="none" w:sz="0" w:space="0" w:color="auto"/>
          </w:divBdr>
        </w:div>
        <w:div w:id="3827804">
          <w:marLeft w:val="0"/>
          <w:marRight w:val="0"/>
          <w:marTop w:val="0"/>
          <w:marBottom w:val="0"/>
          <w:divBdr>
            <w:top w:val="none" w:sz="0" w:space="0" w:color="auto"/>
            <w:left w:val="none" w:sz="0" w:space="0" w:color="auto"/>
            <w:bottom w:val="none" w:sz="0" w:space="0" w:color="auto"/>
            <w:right w:val="none" w:sz="0" w:space="0" w:color="auto"/>
          </w:divBdr>
        </w:div>
        <w:div w:id="1211500180">
          <w:marLeft w:val="0"/>
          <w:marRight w:val="0"/>
          <w:marTop w:val="0"/>
          <w:marBottom w:val="0"/>
          <w:divBdr>
            <w:top w:val="none" w:sz="0" w:space="0" w:color="auto"/>
            <w:left w:val="none" w:sz="0" w:space="0" w:color="auto"/>
            <w:bottom w:val="none" w:sz="0" w:space="0" w:color="auto"/>
            <w:right w:val="none" w:sz="0" w:space="0" w:color="auto"/>
          </w:divBdr>
        </w:div>
        <w:div w:id="2009941101">
          <w:marLeft w:val="0"/>
          <w:marRight w:val="0"/>
          <w:marTop w:val="0"/>
          <w:marBottom w:val="0"/>
          <w:divBdr>
            <w:top w:val="none" w:sz="0" w:space="0" w:color="auto"/>
            <w:left w:val="none" w:sz="0" w:space="0" w:color="auto"/>
            <w:bottom w:val="none" w:sz="0" w:space="0" w:color="auto"/>
            <w:right w:val="none" w:sz="0" w:space="0" w:color="auto"/>
          </w:divBdr>
        </w:div>
      </w:divsChild>
    </w:div>
    <w:div w:id="427966618">
      <w:bodyDiv w:val="1"/>
      <w:marLeft w:val="0"/>
      <w:marRight w:val="0"/>
      <w:marTop w:val="0"/>
      <w:marBottom w:val="0"/>
      <w:divBdr>
        <w:top w:val="none" w:sz="0" w:space="0" w:color="auto"/>
        <w:left w:val="none" w:sz="0" w:space="0" w:color="auto"/>
        <w:bottom w:val="none" w:sz="0" w:space="0" w:color="auto"/>
        <w:right w:val="none" w:sz="0" w:space="0" w:color="auto"/>
      </w:divBdr>
      <w:divsChild>
        <w:div w:id="1606578190">
          <w:marLeft w:val="0"/>
          <w:marRight w:val="60"/>
          <w:marTop w:val="30"/>
          <w:marBottom w:val="0"/>
          <w:divBdr>
            <w:top w:val="none" w:sz="0" w:space="0" w:color="auto"/>
            <w:left w:val="none" w:sz="0" w:space="0" w:color="auto"/>
            <w:bottom w:val="none" w:sz="0" w:space="0" w:color="auto"/>
            <w:right w:val="none" w:sz="0" w:space="0" w:color="auto"/>
          </w:divBdr>
        </w:div>
        <w:div w:id="1797333795">
          <w:marLeft w:val="0"/>
          <w:marRight w:val="60"/>
          <w:marTop w:val="30"/>
          <w:marBottom w:val="0"/>
          <w:divBdr>
            <w:top w:val="none" w:sz="0" w:space="0" w:color="auto"/>
            <w:left w:val="none" w:sz="0" w:space="0" w:color="auto"/>
            <w:bottom w:val="none" w:sz="0" w:space="0" w:color="auto"/>
            <w:right w:val="none" w:sz="0" w:space="0" w:color="auto"/>
          </w:divBdr>
        </w:div>
      </w:divsChild>
    </w:div>
    <w:div w:id="538203914">
      <w:bodyDiv w:val="1"/>
      <w:marLeft w:val="0"/>
      <w:marRight w:val="0"/>
      <w:marTop w:val="0"/>
      <w:marBottom w:val="0"/>
      <w:divBdr>
        <w:top w:val="none" w:sz="0" w:space="0" w:color="auto"/>
        <w:left w:val="none" w:sz="0" w:space="0" w:color="auto"/>
        <w:bottom w:val="none" w:sz="0" w:space="0" w:color="auto"/>
        <w:right w:val="none" w:sz="0" w:space="0" w:color="auto"/>
      </w:divBdr>
      <w:divsChild>
        <w:div w:id="501244642">
          <w:marLeft w:val="0"/>
          <w:marRight w:val="0"/>
          <w:marTop w:val="0"/>
          <w:marBottom w:val="0"/>
          <w:divBdr>
            <w:top w:val="none" w:sz="0" w:space="0" w:color="auto"/>
            <w:left w:val="none" w:sz="0" w:space="0" w:color="auto"/>
            <w:bottom w:val="none" w:sz="0" w:space="0" w:color="auto"/>
            <w:right w:val="none" w:sz="0" w:space="0" w:color="auto"/>
          </w:divBdr>
          <w:divsChild>
            <w:div w:id="55131482">
              <w:marLeft w:val="0"/>
              <w:marRight w:val="0"/>
              <w:marTop w:val="0"/>
              <w:marBottom w:val="0"/>
              <w:divBdr>
                <w:top w:val="none" w:sz="0" w:space="0" w:color="auto"/>
                <w:left w:val="none" w:sz="0" w:space="0" w:color="auto"/>
                <w:bottom w:val="none" w:sz="0" w:space="0" w:color="auto"/>
                <w:right w:val="none" w:sz="0" w:space="0" w:color="auto"/>
              </w:divBdr>
            </w:div>
            <w:div w:id="1143617646">
              <w:marLeft w:val="0"/>
              <w:marRight w:val="0"/>
              <w:marTop w:val="0"/>
              <w:marBottom w:val="0"/>
              <w:divBdr>
                <w:top w:val="none" w:sz="0" w:space="0" w:color="auto"/>
                <w:left w:val="none" w:sz="0" w:space="0" w:color="auto"/>
                <w:bottom w:val="none" w:sz="0" w:space="0" w:color="auto"/>
                <w:right w:val="none" w:sz="0" w:space="0" w:color="auto"/>
              </w:divBdr>
            </w:div>
            <w:div w:id="1525634836">
              <w:marLeft w:val="0"/>
              <w:marRight w:val="0"/>
              <w:marTop w:val="0"/>
              <w:marBottom w:val="0"/>
              <w:divBdr>
                <w:top w:val="none" w:sz="0" w:space="0" w:color="auto"/>
                <w:left w:val="none" w:sz="0" w:space="0" w:color="auto"/>
                <w:bottom w:val="none" w:sz="0" w:space="0" w:color="auto"/>
                <w:right w:val="none" w:sz="0" w:space="0" w:color="auto"/>
              </w:divBdr>
            </w:div>
            <w:div w:id="833421829">
              <w:marLeft w:val="0"/>
              <w:marRight w:val="0"/>
              <w:marTop w:val="0"/>
              <w:marBottom w:val="0"/>
              <w:divBdr>
                <w:top w:val="none" w:sz="0" w:space="0" w:color="auto"/>
                <w:left w:val="none" w:sz="0" w:space="0" w:color="auto"/>
                <w:bottom w:val="none" w:sz="0" w:space="0" w:color="auto"/>
                <w:right w:val="none" w:sz="0" w:space="0" w:color="auto"/>
              </w:divBdr>
            </w:div>
            <w:div w:id="1989436746">
              <w:marLeft w:val="0"/>
              <w:marRight w:val="0"/>
              <w:marTop w:val="0"/>
              <w:marBottom w:val="0"/>
              <w:divBdr>
                <w:top w:val="none" w:sz="0" w:space="0" w:color="auto"/>
                <w:left w:val="none" w:sz="0" w:space="0" w:color="auto"/>
                <w:bottom w:val="none" w:sz="0" w:space="0" w:color="auto"/>
                <w:right w:val="none" w:sz="0" w:space="0" w:color="auto"/>
              </w:divBdr>
            </w:div>
            <w:div w:id="1608197195">
              <w:marLeft w:val="0"/>
              <w:marRight w:val="0"/>
              <w:marTop w:val="0"/>
              <w:marBottom w:val="0"/>
              <w:divBdr>
                <w:top w:val="none" w:sz="0" w:space="0" w:color="auto"/>
                <w:left w:val="none" w:sz="0" w:space="0" w:color="auto"/>
                <w:bottom w:val="none" w:sz="0" w:space="0" w:color="auto"/>
                <w:right w:val="none" w:sz="0" w:space="0" w:color="auto"/>
              </w:divBdr>
            </w:div>
            <w:div w:id="13837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3704">
      <w:bodyDiv w:val="1"/>
      <w:marLeft w:val="0"/>
      <w:marRight w:val="0"/>
      <w:marTop w:val="0"/>
      <w:marBottom w:val="0"/>
      <w:divBdr>
        <w:top w:val="none" w:sz="0" w:space="0" w:color="auto"/>
        <w:left w:val="none" w:sz="0" w:space="0" w:color="auto"/>
        <w:bottom w:val="none" w:sz="0" w:space="0" w:color="auto"/>
        <w:right w:val="none" w:sz="0" w:space="0" w:color="auto"/>
      </w:divBdr>
      <w:divsChild>
        <w:div w:id="1203980674">
          <w:marLeft w:val="0"/>
          <w:marRight w:val="0"/>
          <w:marTop w:val="0"/>
          <w:marBottom w:val="0"/>
          <w:divBdr>
            <w:top w:val="none" w:sz="0" w:space="0" w:color="auto"/>
            <w:left w:val="none" w:sz="0" w:space="0" w:color="auto"/>
            <w:bottom w:val="none" w:sz="0" w:space="0" w:color="auto"/>
            <w:right w:val="none" w:sz="0" w:space="0" w:color="auto"/>
          </w:divBdr>
          <w:divsChild>
            <w:div w:id="261257370">
              <w:marLeft w:val="0"/>
              <w:marRight w:val="0"/>
              <w:marTop w:val="0"/>
              <w:marBottom w:val="0"/>
              <w:divBdr>
                <w:top w:val="none" w:sz="0" w:space="0" w:color="auto"/>
                <w:left w:val="none" w:sz="0" w:space="0" w:color="auto"/>
                <w:bottom w:val="none" w:sz="0" w:space="0" w:color="auto"/>
                <w:right w:val="none" w:sz="0" w:space="0" w:color="auto"/>
              </w:divBdr>
            </w:div>
            <w:div w:id="1564564892">
              <w:marLeft w:val="0"/>
              <w:marRight w:val="0"/>
              <w:marTop w:val="0"/>
              <w:marBottom w:val="0"/>
              <w:divBdr>
                <w:top w:val="none" w:sz="0" w:space="0" w:color="auto"/>
                <w:left w:val="none" w:sz="0" w:space="0" w:color="auto"/>
                <w:bottom w:val="none" w:sz="0" w:space="0" w:color="auto"/>
                <w:right w:val="none" w:sz="0" w:space="0" w:color="auto"/>
              </w:divBdr>
            </w:div>
            <w:div w:id="1519464016">
              <w:marLeft w:val="0"/>
              <w:marRight w:val="0"/>
              <w:marTop w:val="0"/>
              <w:marBottom w:val="0"/>
              <w:divBdr>
                <w:top w:val="none" w:sz="0" w:space="0" w:color="auto"/>
                <w:left w:val="none" w:sz="0" w:space="0" w:color="auto"/>
                <w:bottom w:val="none" w:sz="0" w:space="0" w:color="auto"/>
                <w:right w:val="none" w:sz="0" w:space="0" w:color="auto"/>
              </w:divBdr>
            </w:div>
            <w:div w:id="1462381185">
              <w:marLeft w:val="0"/>
              <w:marRight w:val="0"/>
              <w:marTop w:val="0"/>
              <w:marBottom w:val="0"/>
              <w:divBdr>
                <w:top w:val="none" w:sz="0" w:space="0" w:color="auto"/>
                <w:left w:val="none" w:sz="0" w:space="0" w:color="auto"/>
                <w:bottom w:val="none" w:sz="0" w:space="0" w:color="auto"/>
                <w:right w:val="none" w:sz="0" w:space="0" w:color="auto"/>
              </w:divBdr>
            </w:div>
            <w:div w:id="517743634">
              <w:marLeft w:val="0"/>
              <w:marRight w:val="0"/>
              <w:marTop w:val="0"/>
              <w:marBottom w:val="0"/>
              <w:divBdr>
                <w:top w:val="none" w:sz="0" w:space="0" w:color="auto"/>
                <w:left w:val="none" w:sz="0" w:space="0" w:color="auto"/>
                <w:bottom w:val="none" w:sz="0" w:space="0" w:color="auto"/>
                <w:right w:val="none" w:sz="0" w:space="0" w:color="auto"/>
              </w:divBdr>
            </w:div>
            <w:div w:id="1446804468">
              <w:marLeft w:val="0"/>
              <w:marRight w:val="0"/>
              <w:marTop w:val="0"/>
              <w:marBottom w:val="0"/>
              <w:divBdr>
                <w:top w:val="none" w:sz="0" w:space="0" w:color="auto"/>
                <w:left w:val="none" w:sz="0" w:space="0" w:color="auto"/>
                <w:bottom w:val="none" w:sz="0" w:space="0" w:color="auto"/>
                <w:right w:val="none" w:sz="0" w:space="0" w:color="auto"/>
              </w:divBdr>
            </w:div>
            <w:div w:id="20278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406">
      <w:bodyDiv w:val="1"/>
      <w:marLeft w:val="0"/>
      <w:marRight w:val="0"/>
      <w:marTop w:val="0"/>
      <w:marBottom w:val="0"/>
      <w:divBdr>
        <w:top w:val="none" w:sz="0" w:space="0" w:color="auto"/>
        <w:left w:val="none" w:sz="0" w:space="0" w:color="auto"/>
        <w:bottom w:val="none" w:sz="0" w:space="0" w:color="auto"/>
        <w:right w:val="none" w:sz="0" w:space="0" w:color="auto"/>
      </w:divBdr>
      <w:divsChild>
        <w:div w:id="163589297">
          <w:marLeft w:val="0"/>
          <w:marRight w:val="0"/>
          <w:marTop w:val="0"/>
          <w:marBottom w:val="0"/>
          <w:divBdr>
            <w:top w:val="none" w:sz="0" w:space="0" w:color="auto"/>
            <w:left w:val="none" w:sz="0" w:space="0" w:color="auto"/>
            <w:bottom w:val="none" w:sz="0" w:space="0" w:color="auto"/>
            <w:right w:val="none" w:sz="0" w:space="0" w:color="auto"/>
          </w:divBdr>
          <w:divsChild>
            <w:div w:id="765657411">
              <w:marLeft w:val="0"/>
              <w:marRight w:val="0"/>
              <w:marTop w:val="0"/>
              <w:marBottom w:val="0"/>
              <w:divBdr>
                <w:top w:val="none" w:sz="0" w:space="0" w:color="auto"/>
                <w:left w:val="none" w:sz="0" w:space="0" w:color="auto"/>
                <w:bottom w:val="none" w:sz="0" w:space="0" w:color="auto"/>
                <w:right w:val="none" w:sz="0" w:space="0" w:color="auto"/>
              </w:divBdr>
            </w:div>
            <w:div w:id="1687436421">
              <w:marLeft w:val="0"/>
              <w:marRight w:val="0"/>
              <w:marTop w:val="0"/>
              <w:marBottom w:val="0"/>
              <w:divBdr>
                <w:top w:val="none" w:sz="0" w:space="0" w:color="auto"/>
                <w:left w:val="none" w:sz="0" w:space="0" w:color="auto"/>
                <w:bottom w:val="none" w:sz="0" w:space="0" w:color="auto"/>
                <w:right w:val="none" w:sz="0" w:space="0" w:color="auto"/>
              </w:divBdr>
            </w:div>
            <w:div w:id="1501508456">
              <w:marLeft w:val="0"/>
              <w:marRight w:val="0"/>
              <w:marTop w:val="0"/>
              <w:marBottom w:val="0"/>
              <w:divBdr>
                <w:top w:val="none" w:sz="0" w:space="0" w:color="auto"/>
                <w:left w:val="none" w:sz="0" w:space="0" w:color="auto"/>
                <w:bottom w:val="none" w:sz="0" w:space="0" w:color="auto"/>
                <w:right w:val="none" w:sz="0" w:space="0" w:color="auto"/>
              </w:divBdr>
            </w:div>
            <w:div w:id="1143547778">
              <w:marLeft w:val="0"/>
              <w:marRight w:val="0"/>
              <w:marTop w:val="0"/>
              <w:marBottom w:val="0"/>
              <w:divBdr>
                <w:top w:val="none" w:sz="0" w:space="0" w:color="auto"/>
                <w:left w:val="none" w:sz="0" w:space="0" w:color="auto"/>
                <w:bottom w:val="none" w:sz="0" w:space="0" w:color="auto"/>
                <w:right w:val="none" w:sz="0" w:space="0" w:color="auto"/>
              </w:divBdr>
            </w:div>
            <w:div w:id="806708571">
              <w:marLeft w:val="0"/>
              <w:marRight w:val="0"/>
              <w:marTop w:val="0"/>
              <w:marBottom w:val="0"/>
              <w:divBdr>
                <w:top w:val="none" w:sz="0" w:space="0" w:color="auto"/>
                <w:left w:val="none" w:sz="0" w:space="0" w:color="auto"/>
                <w:bottom w:val="none" w:sz="0" w:space="0" w:color="auto"/>
                <w:right w:val="none" w:sz="0" w:space="0" w:color="auto"/>
              </w:divBdr>
            </w:div>
            <w:div w:id="2072733368">
              <w:marLeft w:val="0"/>
              <w:marRight w:val="0"/>
              <w:marTop w:val="0"/>
              <w:marBottom w:val="0"/>
              <w:divBdr>
                <w:top w:val="none" w:sz="0" w:space="0" w:color="auto"/>
                <w:left w:val="none" w:sz="0" w:space="0" w:color="auto"/>
                <w:bottom w:val="none" w:sz="0" w:space="0" w:color="auto"/>
                <w:right w:val="none" w:sz="0" w:space="0" w:color="auto"/>
              </w:divBdr>
            </w:div>
            <w:div w:id="1341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3910">
      <w:bodyDiv w:val="1"/>
      <w:marLeft w:val="0"/>
      <w:marRight w:val="0"/>
      <w:marTop w:val="0"/>
      <w:marBottom w:val="0"/>
      <w:divBdr>
        <w:top w:val="none" w:sz="0" w:space="0" w:color="auto"/>
        <w:left w:val="none" w:sz="0" w:space="0" w:color="auto"/>
        <w:bottom w:val="none" w:sz="0" w:space="0" w:color="auto"/>
        <w:right w:val="none" w:sz="0" w:space="0" w:color="auto"/>
      </w:divBdr>
      <w:divsChild>
        <w:div w:id="1585676251">
          <w:marLeft w:val="0"/>
          <w:marRight w:val="0"/>
          <w:marTop w:val="0"/>
          <w:marBottom w:val="0"/>
          <w:divBdr>
            <w:top w:val="none" w:sz="0" w:space="0" w:color="auto"/>
            <w:left w:val="none" w:sz="0" w:space="0" w:color="auto"/>
            <w:bottom w:val="none" w:sz="0" w:space="0" w:color="auto"/>
            <w:right w:val="none" w:sz="0" w:space="0" w:color="auto"/>
          </w:divBdr>
          <w:divsChild>
            <w:div w:id="976951238">
              <w:marLeft w:val="0"/>
              <w:marRight w:val="0"/>
              <w:marTop w:val="0"/>
              <w:marBottom w:val="0"/>
              <w:divBdr>
                <w:top w:val="none" w:sz="0" w:space="0" w:color="auto"/>
                <w:left w:val="none" w:sz="0" w:space="0" w:color="auto"/>
                <w:bottom w:val="none" w:sz="0" w:space="0" w:color="auto"/>
                <w:right w:val="none" w:sz="0" w:space="0" w:color="auto"/>
              </w:divBdr>
            </w:div>
            <w:div w:id="179588177">
              <w:marLeft w:val="0"/>
              <w:marRight w:val="0"/>
              <w:marTop w:val="0"/>
              <w:marBottom w:val="0"/>
              <w:divBdr>
                <w:top w:val="none" w:sz="0" w:space="0" w:color="auto"/>
                <w:left w:val="none" w:sz="0" w:space="0" w:color="auto"/>
                <w:bottom w:val="none" w:sz="0" w:space="0" w:color="auto"/>
                <w:right w:val="none" w:sz="0" w:space="0" w:color="auto"/>
              </w:divBdr>
            </w:div>
            <w:div w:id="1411580462">
              <w:marLeft w:val="0"/>
              <w:marRight w:val="0"/>
              <w:marTop w:val="0"/>
              <w:marBottom w:val="0"/>
              <w:divBdr>
                <w:top w:val="none" w:sz="0" w:space="0" w:color="auto"/>
                <w:left w:val="none" w:sz="0" w:space="0" w:color="auto"/>
                <w:bottom w:val="none" w:sz="0" w:space="0" w:color="auto"/>
                <w:right w:val="none" w:sz="0" w:space="0" w:color="auto"/>
              </w:divBdr>
            </w:div>
            <w:div w:id="978655554">
              <w:marLeft w:val="0"/>
              <w:marRight w:val="0"/>
              <w:marTop w:val="0"/>
              <w:marBottom w:val="0"/>
              <w:divBdr>
                <w:top w:val="none" w:sz="0" w:space="0" w:color="auto"/>
                <w:left w:val="none" w:sz="0" w:space="0" w:color="auto"/>
                <w:bottom w:val="none" w:sz="0" w:space="0" w:color="auto"/>
                <w:right w:val="none" w:sz="0" w:space="0" w:color="auto"/>
              </w:divBdr>
            </w:div>
            <w:div w:id="328410081">
              <w:marLeft w:val="0"/>
              <w:marRight w:val="0"/>
              <w:marTop w:val="0"/>
              <w:marBottom w:val="0"/>
              <w:divBdr>
                <w:top w:val="none" w:sz="0" w:space="0" w:color="auto"/>
                <w:left w:val="none" w:sz="0" w:space="0" w:color="auto"/>
                <w:bottom w:val="none" w:sz="0" w:space="0" w:color="auto"/>
                <w:right w:val="none" w:sz="0" w:space="0" w:color="auto"/>
              </w:divBdr>
            </w:div>
            <w:div w:id="1999185116">
              <w:marLeft w:val="0"/>
              <w:marRight w:val="0"/>
              <w:marTop w:val="0"/>
              <w:marBottom w:val="0"/>
              <w:divBdr>
                <w:top w:val="none" w:sz="0" w:space="0" w:color="auto"/>
                <w:left w:val="none" w:sz="0" w:space="0" w:color="auto"/>
                <w:bottom w:val="none" w:sz="0" w:space="0" w:color="auto"/>
                <w:right w:val="none" w:sz="0" w:space="0" w:color="auto"/>
              </w:divBdr>
            </w:div>
            <w:div w:id="4117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273">
      <w:bodyDiv w:val="1"/>
      <w:marLeft w:val="0"/>
      <w:marRight w:val="0"/>
      <w:marTop w:val="0"/>
      <w:marBottom w:val="0"/>
      <w:divBdr>
        <w:top w:val="none" w:sz="0" w:space="0" w:color="auto"/>
        <w:left w:val="none" w:sz="0" w:space="0" w:color="auto"/>
        <w:bottom w:val="none" w:sz="0" w:space="0" w:color="auto"/>
        <w:right w:val="none" w:sz="0" w:space="0" w:color="auto"/>
      </w:divBdr>
    </w:div>
    <w:div w:id="1100250656">
      <w:bodyDiv w:val="1"/>
      <w:marLeft w:val="0"/>
      <w:marRight w:val="0"/>
      <w:marTop w:val="0"/>
      <w:marBottom w:val="0"/>
      <w:divBdr>
        <w:top w:val="none" w:sz="0" w:space="0" w:color="auto"/>
        <w:left w:val="none" w:sz="0" w:space="0" w:color="auto"/>
        <w:bottom w:val="none" w:sz="0" w:space="0" w:color="auto"/>
        <w:right w:val="none" w:sz="0" w:space="0" w:color="auto"/>
      </w:divBdr>
    </w:div>
    <w:div w:id="1206136291">
      <w:bodyDiv w:val="1"/>
      <w:marLeft w:val="0"/>
      <w:marRight w:val="0"/>
      <w:marTop w:val="0"/>
      <w:marBottom w:val="0"/>
      <w:divBdr>
        <w:top w:val="none" w:sz="0" w:space="0" w:color="auto"/>
        <w:left w:val="none" w:sz="0" w:space="0" w:color="auto"/>
        <w:bottom w:val="none" w:sz="0" w:space="0" w:color="auto"/>
        <w:right w:val="none" w:sz="0" w:space="0" w:color="auto"/>
      </w:divBdr>
    </w:div>
    <w:div w:id="1211764720">
      <w:bodyDiv w:val="1"/>
      <w:marLeft w:val="0"/>
      <w:marRight w:val="0"/>
      <w:marTop w:val="0"/>
      <w:marBottom w:val="0"/>
      <w:divBdr>
        <w:top w:val="none" w:sz="0" w:space="0" w:color="auto"/>
        <w:left w:val="none" w:sz="0" w:space="0" w:color="auto"/>
        <w:bottom w:val="none" w:sz="0" w:space="0" w:color="auto"/>
        <w:right w:val="none" w:sz="0" w:space="0" w:color="auto"/>
      </w:divBdr>
    </w:div>
    <w:div w:id="1312128010">
      <w:bodyDiv w:val="1"/>
      <w:marLeft w:val="0"/>
      <w:marRight w:val="0"/>
      <w:marTop w:val="0"/>
      <w:marBottom w:val="0"/>
      <w:divBdr>
        <w:top w:val="none" w:sz="0" w:space="0" w:color="auto"/>
        <w:left w:val="none" w:sz="0" w:space="0" w:color="auto"/>
        <w:bottom w:val="none" w:sz="0" w:space="0" w:color="auto"/>
        <w:right w:val="none" w:sz="0" w:space="0" w:color="auto"/>
      </w:divBdr>
      <w:divsChild>
        <w:div w:id="1259409641">
          <w:marLeft w:val="0"/>
          <w:marRight w:val="0"/>
          <w:marTop w:val="0"/>
          <w:marBottom w:val="0"/>
          <w:divBdr>
            <w:top w:val="none" w:sz="0" w:space="0" w:color="auto"/>
            <w:left w:val="none" w:sz="0" w:space="0" w:color="auto"/>
            <w:bottom w:val="none" w:sz="0" w:space="0" w:color="auto"/>
            <w:right w:val="none" w:sz="0" w:space="0" w:color="auto"/>
          </w:divBdr>
        </w:div>
        <w:div w:id="1296907345">
          <w:marLeft w:val="0"/>
          <w:marRight w:val="0"/>
          <w:marTop w:val="0"/>
          <w:marBottom w:val="0"/>
          <w:divBdr>
            <w:top w:val="none" w:sz="0" w:space="0" w:color="auto"/>
            <w:left w:val="none" w:sz="0" w:space="0" w:color="auto"/>
            <w:bottom w:val="none" w:sz="0" w:space="0" w:color="auto"/>
            <w:right w:val="none" w:sz="0" w:space="0" w:color="auto"/>
          </w:divBdr>
        </w:div>
        <w:div w:id="39939328">
          <w:marLeft w:val="0"/>
          <w:marRight w:val="0"/>
          <w:marTop w:val="0"/>
          <w:marBottom w:val="0"/>
          <w:divBdr>
            <w:top w:val="none" w:sz="0" w:space="0" w:color="auto"/>
            <w:left w:val="none" w:sz="0" w:space="0" w:color="auto"/>
            <w:bottom w:val="none" w:sz="0" w:space="0" w:color="auto"/>
            <w:right w:val="none" w:sz="0" w:space="0" w:color="auto"/>
          </w:divBdr>
        </w:div>
        <w:div w:id="914627092">
          <w:marLeft w:val="0"/>
          <w:marRight w:val="0"/>
          <w:marTop w:val="0"/>
          <w:marBottom w:val="0"/>
          <w:divBdr>
            <w:top w:val="none" w:sz="0" w:space="0" w:color="auto"/>
            <w:left w:val="none" w:sz="0" w:space="0" w:color="auto"/>
            <w:bottom w:val="none" w:sz="0" w:space="0" w:color="auto"/>
            <w:right w:val="none" w:sz="0" w:space="0" w:color="auto"/>
          </w:divBdr>
        </w:div>
        <w:div w:id="1933776300">
          <w:marLeft w:val="0"/>
          <w:marRight w:val="0"/>
          <w:marTop w:val="0"/>
          <w:marBottom w:val="0"/>
          <w:divBdr>
            <w:top w:val="none" w:sz="0" w:space="0" w:color="auto"/>
            <w:left w:val="none" w:sz="0" w:space="0" w:color="auto"/>
            <w:bottom w:val="none" w:sz="0" w:space="0" w:color="auto"/>
            <w:right w:val="none" w:sz="0" w:space="0" w:color="auto"/>
          </w:divBdr>
        </w:div>
        <w:div w:id="1813212059">
          <w:marLeft w:val="0"/>
          <w:marRight w:val="0"/>
          <w:marTop w:val="0"/>
          <w:marBottom w:val="0"/>
          <w:divBdr>
            <w:top w:val="none" w:sz="0" w:space="0" w:color="auto"/>
            <w:left w:val="none" w:sz="0" w:space="0" w:color="auto"/>
            <w:bottom w:val="none" w:sz="0" w:space="0" w:color="auto"/>
            <w:right w:val="none" w:sz="0" w:space="0" w:color="auto"/>
          </w:divBdr>
        </w:div>
        <w:div w:id="976301355">
          <w:marLeft w:val="0"/>
          <w:marRight w:val="0"/>
          <w:marTop w:val="0"/>
          <w:marBottom w:val="0"/>
          <w:divBdr>
            <w:top w:val="none" w:sz="0" w:space="0" w:color="auto"/>
            <w:left w:val="none" w:sz="0" w:space="0" w:color="auto"/>
            <w:bottom w:val="none" w:sz="0" w:space="0" w:color="auto"/>
            <w:right w:val="none" w:sz="0" w:space="0" w:color="auto"/>
          </w:divBdr>
        </w:div>
      </w:divsChild>
    </w:div>
    <w:div w:id="1334258583">
      <w:bodyDiv w:val="1"/>
      <w:marLeft w:val="0"/>
      <w:marRight w:val="0"/>
      <w:marTop w:val="0"/>
      <w:marBottom w:val="0"/>
      <w:divBdr>
        <w:top w:val="none" w:sz="0" w:space="0" w:color="auto"/>
        <w:left w:val="none" w:sz="0" w:space="0" w:color="auto"/>
        <w:bottom w:val="none" w:sz="0" w:space="0" w:color="auto"/>
        <w:right w:val="none" w:sz="0" w:space="0" w:color="auto"/>
      </w:divBdr>
    </w:div>
    <w:div w:id="1350638979">
      <w:bodyDiv w:val="1"/>
      <w:marLeft w:val="0"/>
      <w:marRight w:val="0"/>
      <w:marTop w:val="0"/>
      <w:marBottom w:val="0"/>
      <w:divBdr>
        <w:top w:val="none" w:sz="0" w:space="0" w:color="auto"/>
        <w:left w:val="none" w:sz="0" w:space="0" w:color="auto"/>
        <w:bottom w:val="none" w:sz="0" w:space="0" w:color="auto"/>
        <w:right w:val="none" w:sz="0" w:space="0" w:color="auto"/>
      </w:divBdr>
    </w:div>
    <w:div w:id="1383021051">
      <w:bodyDiv w:val="1"/>
      <w:marLeft w:val="0"/>
      <w:marRight w:val="0"/>
      <w:marTop w:val="0"/>
      <w:marBottom w:val="0"/>
      <w:divBdr>
        <w:top w:val="none" w:sz="0" w:space="0" w:color="auto"/>
        <w:left w:val="none" w:sz="0" w:space="0" w:color="auto"/>
        <w:bottom w:val="none" w:sz="0" w:space="0" w:color="auto"/>
        <w:right w:val="none" w:sz="0" w:space="0" w:color="auto"/>
      </w:divBdr>
      <w:divsChild>
        <w:div w:id="1619333567">
          <w:marLeft w:val="0"/>
          <w:marRight w:val="0"/>
          <w:marTop w:val="0"/>
          <w:marBottom w:val="0"/>
          <w:divBdr>
            <w:top w:val="none" w:sz="0" w:space="0" w:color="auto"/>
            <w:left w:val="none" w:sz="0" w:space="0" w:color="auto"/>
            <w:bottom w:val="none" w:sz="0" w:space="0" w:color="auto"/>
            <w:right w:val="none" w:sz="0" w:space="0" w:color="auto"/>
          </w:divBdr>
          <w:divsChild>
            <w:div w:id="875042986">
              <w:marLeft w:val="0"/>
              <w:marRight w:val="0"/>
              <w:marTop w:val="0"/>
              <w:marBottom w:val="0"/>
              <w:divBdr>
                <w:top w:val="none" w:sz="0" w:space="0" w:color="auto"/>
                <w:left w:val="none" w:sz="0" w:space="0" w:color="auto"/>
                <w:bottom w:val="none" w:sz="0" w:space="0" w:color="auto"/>
                <w:right w:val="none" w:sz="0" w:space="0" w:color="auto"/>
              </w:divBdr>
            </w:div>
            <w:div w:id="928150317">
              <w:marLeft w:val="0"/>
              <w:marRight w:val="0"/>
              <w:marTop w:val="0"/>
              <w:marBottom w:val="0"/>
              <w:divBdr>
                <w:top w:val="none" w:sz="0" w:space="0" w:color="auto"/>
                <w:left w:val="none" w:sz="0" w:space="0" w:color="auto"/>
                <w:bottom w:val="none" w:sz="0" w:space="0" w:color="auto"/>
                <w:right w:val="none" w:sz="0" w:space="0" w:color="auto"/>
              </w:divBdr>
            </w:div>
            <w:div w:id="748304856">
              <w:marLeft w:val="0"/>
              <w:marRight w:val="0"/>
              <w:marTop w:val="0"/>
              <w:marBottom w:val="0"/>
              <w:divBdr>
                <w:top w:val="none" w:sz="0" w:space="0" w:color="auto"/>
                <w:left w:val="none" w:sz="0" w:space="0" w:color="auto"/>
                <w:bottom w:val="none" w:sz="0" w:space="0" w:color="auto"/>
                <w:right w:val="none" w:sz="0" w:space="0" w:color="auto"/>
              </w:divBdr>
            </w:div>
            <w:div w:id="498035588">
              <w:marLeft w:val="0"/>
              <w:marRight w:val="0"/>
              <w:marTop w:val="0"/>
              <w:marBottom w:val="0"/>
              <w:divBdr>
                <w:top w:val="none" w:sz="0" w:space="0" w:color="auto"/>
                <w:left w:val="none" w:sz="0" w:space="0" w:color="auto"/>
                <w:bottom w:val="none" w:sz="0" w:space="0" w:color="auto"/>
                <w:right w:val="none" w:sz="0" w:space="0" w:color="auto"/>
              </w:divBdr>
            </w:div>
            <w:div w:id="1205600973">
              <w:marLeft w:val="0"/>
              <w:marRight w:val="0"/>
              <w:marTop w:val="0"/>
              <w:marBottom w:val="0"/>
              <w:divBdr>
                <w:top w:val="none" w:sz="0" w:space="0" w:color="auto"/>
                <w:left w:val="none" w:sz="0" w:space="0" w:color="auto"/>
                <w:bottom w:val="none" w:sz="0" w:space="0" w:color="auto"/>
                <w:right w:val="none" w:sz="0" w:space="0" w:color="auto"/>
              </w:divBdr>
            </w:div>
            <w:div w:id="2093699918">
              <w:marLeft w:val="0"/>
              <w:marRight w:val="0"/>
              <w:marTop w:val="0"/>
              <w:marBottom w:val="0"/>
              <w:divBdr>
                <w:top w:val="none" w:sz="0" w:space="0" w:color="auto"/>
                <w:left w:val="none" w:sz="0" w:space="0" w:color="auto"/>
                <w:bottom w:val="none" w:sz="0" w:space="0" w:color="auto"/>
                <w:right w:val="none" w:sz="0" w:space="0" w:color="auto"/>
              </w:divBdr>
            </w:div>
            <w:div w:id="17732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272">
      <w:bodyDiv w:val="1"/>
      <w:marLeft w:val="0"/>
      <w:marRight w:val="0"/>
      <w:marTop w:val="0"/>
      <w:marBottom w:val="0"/>
      <w:divBdr>
        <w:top w:val="none" w:sz="0" w:space="0" w:color="auto"/>
        <w:left w:val="none" w:sz="0" w:space="0" w:color="auto"/>
        <w:bottom w:val="none" w:sz="0" w:space="0" w:color="auto"/>
        <w:right w:val="none" w:sz="0" w:space="0" w:color="auto"/>
      </w:divBdr>
      <w:divsChild>
        <w:div w:id="1423649606">
          <w:marLeft w:val="0"/>
          <w:marRight w:val="0"/>
          <w:marTop w:val="0"/>
          <w:marBottom w:val="0"/>
          <w:divBdr>
            <w:top w:val="none" w:sz="0" w:space="0" w:color="auto"/>
            <w:left w:val="none" w:sz="0" w:space="0" w:color="auto"/>
            <w:bottom w:val="none" w:sz="0" w:space="0" w:color="auto"/>
            <w:right w:val="none" w:sz="0" w:space="0" w:color="auto"/>
          </w:divBdr>
        </w:div>
        <w:div w:id="608392547">
          <w:marLeft w:val="0"/>
          <w:marRight w:val="0"/>
          <w:marTop w:val="0"/>
          <w:marBottom w:val="0"/>
          <w:divBdr>
            <w:top w:val="none" w:sz="0" w:space="0" w:color="auto"/>
            <w:left w:val="none" w:sz="0" w:space="0" w:color="auto"/>
            <w:bottom w:val="none" w:sz="0" w:space="0" w:color="auto"/>
            <w:right w:val="none" w:sz="0" w:space="0" w:color="auto"/>
          </w:divBdr>
        </w:div>
      </w:divsChild>
    </w:div>
    <w:div w:id="1467745707">
      <w:bodyDiv w:val="1"/>
      <w:marLeft w:val="0"/>
      <w:marRight w:val="0"/>
      <w:marTop w:val="0"/>
      <w:marBottom w:val="0"/>
      <w:divBdr>
        <w:top w:val="none" w:sz="0" w:space="0" w:color="auto"/>
        <w:left w:val="none" w:sz="0" w:space="0" w:color="auto"/>
        <w:bottom w:val="none" w:sz="0" w:space="0" w:color="auto"/>
        <w:right w:val="none" w:sz="0" w:space="0" w:color="auto"/>
      </w:divBdr>
      <w:divsChild>
        <w:div w:id="1511216577">
          <w:marLeft w:val="0"/>
          <w:marRight w:val="0"/>
          <w:marTop w:val="0"/>
          <w:marBottom w:val="0"/>
          <w:divBdr>
            <w:top w:val="none" w:sz="0" w:space="0" w:color="auto"/>
            <w:left w:val="none" w:sz="0" w:space="0" w:color="auto"/>
            <w:bottom w:val="none" w:sz="0" w:space="0" w:color="auto"/>
            <w:right w:val="none" w:sz="0" w:space="0" w:color="auto"/>
          </w:divBdr>
        </w:div>
        <w:div w:id="23409071">
          <w:marLeft w:val="0"/>
          <w:marRight w:val="0"/>
          <w:marTop w:val="0"/>
          <w:marBottom w:val="0"/>
          <w:divBdr>
            <w:top w:val="none" w:sz="0" w:space="0" w:color="auto"/>
            <w:left w:val="none" w:sz="0" w:space="0" w:color="auto"/>
            <w:bottom w:val="none" w:sz="0" w:space="0" w:color="auto"/>
            <w:right w:val="none" w:sz="0" w:space="0" w:color="auto"/>
          </w:divBdr>
        </w:div>
        <w:div w:id="324088660">
          <w:marLeft w:val="0"/>
          <w:marRight w:val="0"/>
          <w:marTop w:val="0"/>
          <w:marBottom w:val="0"/>
          <w:divBdr>
            <w:top w:val="none" w:sz="0" w:space="0" w:color="auto"/>
            <w:left w:val="none" w:sz="0" w:space="0" w:color="auto"/>
            <w:bottom w:val="none" w:sz="0" w:space="0" w:color="auto"/>
            <w:right w:val="none" w:sz="0" w:space="0" w:color="auto"/>
          </w:divBdr>
        </w:div>
        <w:div w:id="1177764600">
          <w:marLeft w:val="0"/>
          <w:marRight w:val="0"/>
          <w:marTop w:val="0"/>
          <w:marBottom w:val="0"/>
          <w:divBdr>
            <w:top w:val="none" w:sz="0" w:space="0" w:color="auto"/>
            <w:left w:val="none" w:sz="0" w:space="0" w:color="auto"/>
            <w:bottom w:val="none" w:sz="0" w:space="0" w:color="auto"/>
            <w:right w:val="none" w:sz="0" w:space="0" w:color="auto"/>
          </w:divBdr>
        </w:div>
        <w:div w:id="891617878">
          <w:marLeft w:val="0"/>
          <w:marRight w:val="0"/>
          <w:marTop w:val="0"/>
          <w:marBottom w:val="0"/>
          <w:divBdr>
            <w:top w:val="none" w:sz="0" w:space="0" w:color="auto"/>
            <w:left w:val="none" w:sz="0" w:space="0" w:color="auto"/>
            <w:bottom w:val="none" w:sz="0" w:space="0" w:color="auto"/>
            <w:right w:val="none" w:sz="0" w:space="0" w:color="auto"/>
          </w:divBdr>
        </w:div>
        <w:div w:id="672955786">
          <w:marLeft w:val="0"/>
          <w:marRight w:val="0"/>
          <w:marTop w:val="0"/>
          <w:marBottom w:val="0"/>
          <w:divBdr>
            <w:top w:val="none" w:sz="0" w:space="0" w:color="auto"/>
            <w:left w:val="none" w:sz="0" w:space="0" w:color="auto"/>
            <w:bottom w:val="none" w:sz="0" w:space="0" w:color="auto"/>
            <w:right w:val="none" w:sz="0" w:space="0" w:color="auto"/>
          </w:divBdr>
        </w:div>
      </w:divsChild>
    </w:div>
    <w:div w:id="1640958169">
      <w:bodyDiv w:val="1"/>
      <w:marLeft w:val="0"/>
      <w:marRight w:val="0"/>
      <w:marTop w:val="0"/>
      <w:marBottom w:val="0"/>
      <w:divBdr>
        <w:top w:val="none" w:sz="0" w:space="0" w:color="auto"/>
        <w:left w:val="none" w:sz="0" w:space="0" w:color="auto"/>
        <w:bottom w:val="none" w:sz="0" w:space="0" w:color="auto"/>
        <w:right w:val="none" w:sz="0" w:space="0" w:color="auto"/>
      </w:divBdr>
    </w:div>
    <w:div w:id="1706902273">
      <w:bodyDiv w:val="1"/>
      <w:marLeft w:val="0"/>
      <w:marRight w:val="0"/>
      <w:marTop w:val="0"/>
      <w:marBottom w:val="0"/>
      <w:divBdr>
        <w:top w:val="none" w:sz="0" w:space="0" w:color="auto"/>
        <w:left w:val="none" w:sz="0" w:space="0" w:color="auto"/>
        <w:bottom w:val="none" w:sz="0" w:space="0" w:color="auto"/>
        <w:right w:val="none" w:sz="0" w:space="0" w:color="auto"/>
      </w:divBdr>
    </w:div>
    <w:div w:id="1773816024">
      <w:bodyDiv w:val="1"/>
      <w:marLeft w:val="0"/>
      <w:marRight w:val="0"/>
      <w:marTop w:val="0"/>
      <w:marBottom w:val="0"/>
      <w:divBdr>
        <w:top w:val="none" w:sz="0" w:space="0" w:color="auto"/>
        <w:left w:val="none" w:sz="0" w:space="0" w:color="auto"/>
        <w:bottom w:val="none" w:sz="0" w:space="0" w:color="auto"/>
        <w:right w:val="none" w:sz="0" w:space="0" w:color="auto"/>
      </w:divBdr>
      <w:divsChild>
        <w:div w:id="262687977">
          <w:marLeft w:val="0"/>
          <w:marRight w:val="0"/>
          <w:marTop w:val="0"/>
          <w:marBottom w:val="0"/>
          <w:divBdr>
            <w:top w:val="none" w:sz="0" w:space="0" w:color="auto"/>
            <w:left w:val="none" w:sz="0" w:space="0" w:color="auto"/>
            <w:bottom w:val="none" w:sz="0" w:space="0" w:color="auto"/>
            <w:right w:val="none" w:sz="0" w:space="0" w:color="auto"/>
          </w:divBdr>
        </w:div>
        <w:div w:id="632833239">
          <w:marLeft w:val="0"/>
          <w:marRight w:val="0"/>
          <w:marTop w:val="0"/>
          <w:marBottom w:val="0"/>
          <w:divBdr>
            <w:top w:val="none" w:sz="0" w:space="0" w:color="auto"/>
            <w:left w:val="none" w:sz="0" w:space="0" w:color="auto"/>
            <w:bottom w:val="none" w:sz="0" w:space="0" w:color="auto"/>
            <w:right w:val="none" w:sz="0" w:space="0" w:color="auto"/>
          </w:divBdr>
        </w:div>
        <w:div w:id="2110154811">
          <w:marLeft w:val="0"/>
          <w:marRight w:val="0"/>
          <w:marTop w:val="0"/>
          <w:marBottom w:val="0"/>
          <w:divBdr>
            <w:top w:val="none" w:sz="0" w:space="0" w:color="auto"/>
            <w:left w:val="none" w:sz="0" w:space="0" w:color="auto"/>
            <w:bottom w:val="none" w:sz="0" w:space="0" w:color="auto"/>
            <w:right w:val="none" w:sz="0" w:space="0" w:color="auto"/>
          </w:divBdr>
        </w:div>
        <w:div w:id="1172840684">
          <w:marLeft w:val="0"/>
          <w:marRight w:val="0"/>
          <w:marTop w:val="0"/>
          <w:marBottom w:val="0"/>
          <w:divBdr>
            <w:top w:val="none" w:sz="0" w:space="0" w:color="auto"/>
            <w:left w:val="none" w:sz="0" w:space="0" w:color="auto"/>
            <w:bottom w:val="none" w:sz="0" w:space="0" w:color="auto"/>
            <w:right w:val="none" w:sz="0" w:space="0" w:color="auto"/>
          </w:divBdr>
        </w:div>
        <w:div w:id="169025360">
          <w:marLeft w:val="0"/>
          <w:marRight w:val="0"/>
          <w:marTop w:val="0"/>
          <w:marBottom w:val="0"/>
          <w:divBdr>
            <w:top w:val="none" w:sz="0" w:space="0" w:color="auto"/>
            <w:left w:val="none" w:sz="0" w:space="0" w:color="auto"/>
            <w:bottom w:val="none" w:sz="0" w:space="0" w:color="auto"/>
            <w:right w:val="none" w:sz="0" w:space="0" w:color="auto"/>
          </w:divBdr>
        </w:div>
        <w:div w:id="1554390621">
          <w:marLeft w:val="0"/>
          <w:marRight w:val="0"/>
          <w:marTop w:val="0"/>
          <w:marBottom w:val="0"/>
          <w:divBdr>
            <w:top w:val="none" w:sz="0" w:space="0" w:color="auto"/>
            <w:left w:val="none" w:sz="0" w:space="0" w:color="auto"/>
            <w:bottom w:val="none" w:sz="0" w:space="0" w:color="auto"/>
            <w:right w:val="none" w:sz="0" w:space="0" w:color="auto"/>
          </w:divBdr>
        </w:div>
        <w:div w:id="1456605354">
          <w:marLeft w:val="0"/>
          <w:marRight w:val="0"/>
          <w:marTop w:val="0"/>
          <w:marBottom w:val="0"/>
          <w:divBdr>
            <w:top w:val="none" w:sz="0" w:space="0" w:color="auto"/>
            <w:left w:val="none" w:sz="0" w:space="0" w:color="auto"/>
            <w:bottom w:val="none" w:sz="0" w:space="0" w:color="auto"/>
            <w:right w:val="none" w:sz="0" w:space="0" w:color="auto"/>
          </w:divBdr>
        </w:div>
      </w:divsChild>
    </w:div>
    <w:div w:id="1791507940">
      <w:bodyDiv w:val="1"/>
      <w:marLeft w:val="0"/>
      <w:marRight w:val="0"/>
      <w:marTop w:val="0"/>
      <w:marBottom w:val="0"/>
      <w:divBdr>
        <w:top w:val="none" w:sz="0" w:space="0" w:color="auto"/>
        <w:left w:val="none" w:sz="0" w:space="0" w:color="auto"/>
        <w:bottom w:val="none" w:sz="0" w:space="0" w:color="auto"/>
        <w:right w:val="none" w:sz="0" w:space="0" w:color="auto"/>
      </w:divBdr>
    </w:div>
    <w:div w:id="1812477331">
      <w:bodyDiv w:val="1"/>
      <w:marLeft w:val="0"/>
      <w:marRight w:val="0"/>
      <w:marTop w:val="0"/>
      <w:marBottom w:val="0"/>
      <w:divBdr>
        <w:top w:val="none" w:sz="0" w:space="0" w:color="auto"/>
        <w:left w:val="none" w:sz="0" w:space="0" w:color="auto"/>
        <w:bottom w:val="none" w:sz="0" w:space="0" w:color="auto"/>
        <w:right w:val="none" w:sz="0" w:space="0" w:color="auto"/>
      </w:divBdr>
    </w:div>
    <w:div w:id="1877542511">
      <w:bodyDiv w:val="1"/>
      <w:marLeft w:val="0"/>
      <w:marRight w:val="0"/>
      <w:marTop w:val="0"/>
      <w:marBottom w:val="0"/>
      <w:divBdr>
        <w:top w:val="none" w:sz="0" w:space="0" w:color="auto"/>
        <w:left w:val="none" w:sz="0" w:space="0" w:color="auto"/>
        <w:bottom w:val="none" w:sz="0" w:space="0" w:color="auto"/>
        <w:right w:val="none" w:sz="0" w:space="0" w:color="auto"/>
      </w:divBdr>
      <w:divsChild>
        <w:div w:id="798959385">
          <w:marLeft w:val="0"/>
          <w:marRight w:val="0"/>
          <w:marTop w:val="0"/>
          <w:marBottom w:val="0"/>
          <w:divBdr>
            <w:top w:val="none" w:sz="0" w:space="0" w:color="auto"/>
            <w:left w:val="none" w:sz="0" w:space="0" w:color="auto"/>
            <w:bottom w:val="none" w:sz="0" w:space="0" w:color="auto"/>
            <w:right w:val="none" w:sz="0" w:space="0" w:color="auto"/>
          </w:divBdr>
          <w:divsChild>
            <w:div w:id="988285621">
              <w:marLeft w:val="0"/>
              <w:marRight w:val="0"/>
              <w:marTop w:val="0"/>
              <w:marBottom w:val="0"/>
              <w:divBdr>
                <w:top w:val="none" w:sz="0" w:space="0" w:color="auto"/>
                <w:left w:val="none" w:sz="0" w:space="0" w:color="auto"/>
                <w:bottom w:val="none" w:sz="0" w:space="0" w:color="auto"/>
                <w:right w:val="none" w:sz="0" w:space="0" w:color="auto"/>
              </w:divBdr>
            </w:div>
            <w:div w:id="1198588935">
              <w:marLeft w:val="0"/>
              <w:marRight w:val="0"/>
              <w:marTop w:val="0"/>
              <w:marBottom w:val="0"/>
              <w:divBdr>
                <w:top w:val="none" w:sz="0" w:space="0" w:color="auto"/>
                <w:left w:val="none" w:sz="0" w:space="0" w:color="auto"/>
                <w:bottom w:val="none" w:sz="0" w:space="0" w:color="auto"/>
                <w:right w:val="none" w:sz="0" w:space="0" w:color="auto"/>
              </w:divBdr>
            </w:div>
            <w:div w:id="41447856">
              <w:marLeft w:val="0"/>
              <w:marRight w:val="0"/>
              <w:marTop w:val="0"/>
              <w:marBottom w:val="0"/>
              <w:divBdr>
                <w:top w:val="none" w:sz="0" w:space="0" w:color="auto"/>
                <w:left w:val="none" w:sz="0" w:space="0" w:color="auto"/>
                <w:bottom w:val="none" w:sz="0" w:space="0" w:color="auto"/>
                <w:right w:val="none" w:sz="0" w:space="0" w:color="auto"/>
              </w:divBdr>
            </w:div>
            <w:div w:id="682979506">
              <w:marLeft w:val="0"/>
              <w:marRight w:val="0"/>
              <w:marTop w:val="0"/>
              <w:marBottom w:val="0"/>
              <w:divBdr>
                <w:top w:val="none" w:sz="0" w:space="0" w:color="auto"/>
                <w:left w:val="none" w:sz="0" w:space="0" w:color="auto"/>
                <w:bottom w:val="none" w:sz="0" w:space="0" w:color="auto"/>
                <w:right w:val="none" w:sz="0" w:space="0" w:color="auto"/>
              </w:divBdr>
            </w:div>
            <w:div w:id="232080440">
              <w:marLeft w:val="0"/>
              <w:marRight w:val="0"/>
              <w:marTop w:val="0"/>
              <w:marBottom w:val="0"/>
              <w:divBdr>
                <w:top w:val="none" w:sz="0" w:space="0" w:color="auto"/>
                <w:left w:val="none" w:sz="0" w:space="0" w:color="auto"/>
                <w:bottom w:val="none" w:sz="0" w:space="0" w:color="auto"/>
                <w:right w:val="none" w:sz="0" w:space="0" w:color="auto"/>
              </w:divBdr>
            </w:div>
            <w:div w:id="822041252">
              <w:marLeft w:val="0"/>
              <w:marRight w:val="0"/>
              <w:marTop w:val="0"/>
              <w:marBottom w:val="0"/>
              <w:divBdr>
                <w:top w:val="none" w:sz="0" w:space="0" w:color="auto"/>
                <w:left w:val="none" w:sz="0" w:space="0" w:color="auto"/>
                <w:bottom w:val="none" w:sz="0" w:space="0" w:color="auto"/>
                <w:right w:val="none" w:sz="0" w:space="0" w:color="auto"/>
              </w:divBdr>
            </w:div>
            <w:div w:id="15415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u.uc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re.uca.es" TargetMode="External"/><Relationship Id="rId5" Type="http://schemas.openxmlformats.org/officeDocument/2006/relationships/webSettings" Target="webSettings.xml"/><Relationship Id="rId10" Type="http://schemas.openxmlformats.org/officeDocument/2006/relationships/hyperlink" Target="https://cau.uca.es/cau/indiceGlobal.do" TargetMode="External"/><Relationship Id="rId4" Type="http://schemas.openxmlformats.org/officeDocument/2006/relationships/settings" Target="settings.xml"/><Relationship Id="rId9" Type="http://schemas.openxmlformats.org/officeDocument/2006/relationships/hyperlink" Target="https://buzon.uca.es/cau/index.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03B5-6542-4614-8C09-8B500C2F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4557</Words>
  <Characters>25067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Benito</cp:lastModifiedBy>
  <cp:revision>12</cp:revision>
  <cp:lastPrinted>2017-04-05T08:50:00Z</cp:lastPrinted>
  <dcterms:created xsi:type="dcterms:W3CDTF">2025-04-04T10:46:00Z</dcterms:created>
  <dcterms:modified xsi:type="dcterms:W3CDTF">2025-04-24T12:05:00Z</dcterms:modified>
</cp:coreProperties>
</file>